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Využití</w:t>
      </w:r>
      <w:r>
        <w:t xml:space="preserve"> </w:t>
      </w:r>
      <w:r>
        <w:t xml:space="preserve">programu</w:t>
      </w:r>
      <w:r>
        <w:t xml:space="preserve"> </w:t>
      </w:r>
      <w:r>
        <w:t xml:space="preserve">BETA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pořídit</w:t>
      </w:r>
      <w:r>
        <w:t xml:space="preserve"> </w:t>
      </w:r>
      <w:r>
        <w:t xml:space="preserve">výzkum</w:t>
      </w:r>
      <w:r>
        <w:t xml:space="preserve"> </w:t>
      </w:r>
      <w:r>
        <w:t xml:space="preserve">přes</w:t>
      </w:r>
      <w:r>
        <w:t xml:space="preserve"> </w:t>
      </w:r>
      <w:r>
        <w:t xml:space="preserve">zakázky</w:t>
      </w:r>
      <w:r>
        <w:t xml:space="preserve"> </w:t>
      </w:r>
      <w:r>
        <w:t xml:space="preserve">aplikovaného</w:t>
      </w:r>
      <w:r>
        <w:t xml:space="preserve"> </w:t>
      </w:r>
      <w:r>
        <w:t xml:space="preserve">výzkumu</w:t>
      </w:r>
    </w:p>
    <w:bookmarkStart w:id="21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Jestliže se staráte (především role zástupce odborného garanta) o výzkumné projekty skrze program BETA2 (v budoucnu BETA3), měl by Vám tento průvodce ukázat možné způsoby zlepšení tohoto procesu, který může být časově a organizačně náročný a nemusí nést kýžené výsledky.</w:t>
      </w:r>
    </w:p>
    <w:p>
      <w:pPr>
        <w:pStyle w:val="BodyText"/>
      </w:pPr>
      <w:r>
        <w:t xml:space="preserve">Proces zadávání a vedení průběhu výzkumu skrze program BETA je rozsáhlý a je na každém ministerstvu řešen jinak. Zde popisujeme obecné kroky navazující na časté problémy na které jsme v projektu narazily, ale nemusí přesně odpovídat procesům na vašem ministerstvu. Tyto kroky se týkají především zadávání nového výzkumu.</w:t>
      </w:r>
    </w:p>
    <w:p>
      <w:pPr>
        <w:pStyle w:val="BodyText"/>
      </w:pPr>
      <w:r>
        <w:rPr>
          <w:bCs/>
          <w:b/>
        </w:rPr>
        <w:t xml:space="preserve">Případová studie</w:t>
      </w:r>
    </w:p>
    <w:p>
      <w:pPr>
        <w:pStyle w:val="BodyText"/>
      </w:pPr>
      <w:r>
        <w:t xml:space="preserve">Tento návod jsme vyvíjeli a testovali ve spolupráci s týmem oddělení strategií a analýz na MŠMT.</w:t>
      </w:r>
    </w:p>
    <w:p>
      <w:pPr>
        <w:pStyle w:val="BodyText"/>
      </w:pPr>
    </w:p>
    <w:p>
      <w:pPr>
        <w:pStyle w:val="BodyText"/>
      </w:pPr>
      <w:hyperlink r:id="rId20">
        <w:r>
          <w:rPr>
            <w:rStyle w:val="Hyperlink"/>
          </w:rPr>
          <w:t xml:space="preserve">Přečíst případovou studii ⟶</w:t>
        </w:r>
      </w:hyperlink>
    </w:p>
    <w:bookmarkEnd w:id="21"/>
    <w:bookmarkStart w:id="22" w:name="sebediagnostika-je-to-pro-mě"/>
    <w:p>
      <w:pPr>
        <w:pStyle w:val="Heading1"/>
      </w:pPr>
      <w:r>
        <w:t xml:space="preserve">Sebediagnostika: je to pro mě?</w:t>
      </w:r>
    </w:p>
    <w:p>
      <w:pPr>
        <w:pStyle w:val="FirstParagraph"/>
      </w:pPr>
      <w:r>
        <w:t xml:space="preserve">Nejprve je potřeba zajistit kapacity</w:t>
      </w:r>
    </w:p>
    <w:p>
      <w:pPr>
        <w:numPr>
          <w:ilvl w:val="0"/>
          <w:numId w:val="1001"/>
        </w:numPr>
        <w:pStyle w:val="Compact"/>
      </w:pPr>
      <w:r>
        <w:t xml:space="preserve">Jste ZOG (Zástupce odborného garanta) na svém ministerstvu či úřadu</w:t>
      </w:r>
    </w:p>
    <w:p>
      <w:pPr>
        <w:numPr>
          <w:ilvl w:val="0"/>
          <w:numId w:val="1001"/>
        </w:numPr>
        <w:pStyle w:val="Compact"/>
      </w:pPr>
      <w:r>
        <w:t xml:space="preserve">Program TAČR BETA je u Vás využíván málo, Váš resort nevyčerpal přidělený rozpočet pro BETA2.</w:t>
      </w:r>
    </w:p>
    <w:p>
      <w:pPr>
        <w:numPr>
          <w:ilvl w:val="0"/>
          <w:numId w:val="1001"/>
        </w:numPr>
        <w:pStyle w:val="Compact"/>
      </w:pPr>
      <w:r>
        <w:t xml:space="preserve">Výsledky, které získáváme z programu BETA se nedaří dostatečně využít.</w:t>
      </w:r>
    </w:p>
    <w:p>
      <w:pPr>
        <w:numPr>
          <w:ilvl w:val="0"/>
          <w:numId w:val="1001"/>
        </w:numPr>
        <w:pStyle w:val="Compact"/>
      </w:pPr>
      <w:r>
        <w:t xml:space="preserve">Na resortu není jasné, kdo má v procesu výzkumu BETA jaké role.</w:t>
      </w:r>
    </w:p>
    <w:p>
      <w:pPr>
        <w:pStyle w:val="FirstParagraph"/>
      </w:pPr>
    </w:p>
    <w:bookmarkEnd w:id="22"/>
    <w:bookmarkStart w:id="25" w:name="jak-na-to"/>
    <w:p>
      <w:pPr>
        <w:pStyle w:val="Heading1"/>
      </w:pPr>
      <w:r>
        <w:t xml:space="preserve">Jak na to</w:t>
      </w:r>
    </w:p>
    <w:p>
      <w:pPr>
        <w:pStyle w:val="FirstParagraph"/>
      </w:pPr>
      <w:r>
        <w:t xml:space="preserve">ZOG by měl:</w:t>
      </w:r>
    </w:p>
    <w:p>
      <w:pPr>
        <w:numPr>
          <w:ilvl w:val="0"/>
          <w:numId w:val="1002"/>
        </w:numPr>
        <w:pStyle w:val="Compact"/>
      </w:pPr>
      <w:r>
        <w:t xml:space="preserve">Vnímat svoji roli jako spojku mezi výzkumníky a zadavateli výzkumu a zajišťovat kvalitní přenos poznatků pro zadavatele.</w:t>
      </w:r>
    </w:p>
    <w:p>
      <w:pPr>
        <w:numPr>
          <w:ilvl w:val="0"/>
          <w:numId w:val="1002"/>
        </w:numPr>
        <w:pStyle w:val="Compact"/>
      </w:pPr>
      <w:r>
        <w:t xml:space="preserve">Před začátkem každého výzkumu věnovat dostatek času definování výzkumných otázek. Ve spolupráci s MŠMT vznikla</w:t>
      </w:r>
      <w:r>
        <w:t xml:space="preserve"> </w:t>
      </w:r>
      <w:r>
        <w:rPr>
          <w:bCs/>
          <w:b/>
        </w:rPr>
        <w:t xml:space="preserve">šablona</w:t>
      </w:r>
      <w:r>
        <w:t xml:space="preserve"> </w:t>
      </w:r>
      <w:r>
        <w:t xml:space="preserve">pro zadávání výzkumu v programu BETA, která může sloužit jako inspirace.</w:t>
      </w:r>
    </w:p>
    <w:p>
      <w:pPr>
        <w:numPr>
          <w:ilvl w:val="0"/>
          <w:numId w:val="1002"/>
        </w:numPr>
        <w:pStyle w:val="Compact"/>
      </w:pPr>
      <w:r>
        <w:t xml:space="preserve">Věnovat čas vysvětlením stakeholderům toho, jak proces BETA na Vašem resortu funguje</w:t>
      </w:r>
    </w:p>
    <w:p>
      <w:pPr>
        <w:numPr>
          <w:ilvl w:val="0"/>
          <w:numId w:val="1002"/>
        </w:numPr>
        <w:pStyle w:val="Compact"/>
      </w:pPr>
      <w:r>
        <w:t xml:space="preserve">Věnujte čas podnětům všech relevantních stakeholderů, pro které by mohl výzkum být užitečný. Může se týkat i aktérů spjatých s resortem, např. VVI nebo podřízenek.</w:t>
      </w:r>
    </w:p>
    <w:p>
      <w:pPr>
        <w:numPr>
          <w:ilvl w:val="0"/>
          <w:numId w:val="1002"/>
        </w:numPr>
        <w:pStyle w:val="Compact"/>
      </w:pPr>
      <w:r>
        <w:t xml:space="preserve">Udržujte všechny stakeholdery průběžné informované (např. Můžete nahrávat kontrolní dny apod. pro ty kdo se nemohou zúčastnit)</w:t>
      </w:r>
    </w:p>
    <w:p>
      <w:pPr>
        <w:numPr>
          <w:ilvl w:val="0"/>
          <w:numId w:val="1002"/>
        </w:numPr>
        <w:pStyle w:val="Compact"/>
      </w:pPr>
      <w:r>
        <w:t xml:space="preserve">Udržujte přehled o průběhu výzkumu</w:t>
      </w:r>
    </w:p>
    <w:p>
      <w:pPr>
        <w:numPr>
          <w:ilvl w:val="0"/>
          <w:numId w:val="1002"/>
        </w:numPr>
        <w:pStyle w:val="Compact"/>
      </w:pPr>
      <w:r>
        <w:t xml:space="preserve">Ujišťujte se jak s výzkumníky, tak zadavateli, že se držíte na dobré cestě, případně diskutujte nutné změny odvozené z kontextu</w:t>
      </w:r>
    </w:p>
    <w:p>
      <w:pPr>
        <w:numPr>
          <w:ilvl w:val="0"/>
          <w:numId w:val="1002"/>
        </w:numPr>
        <w:pStyle w:val="Compact"/>
      </w:pPr>
      <w:r>
        <w:t xml:space="preserve">Pro udržitelnost a přehlednost procesu zadání a vedení výzkumu se nabízí otázka vytvořit informační šablonu, která má sloužit k zaznamenání důležitých informací</w:t>
      </w:r>
    </w:p>
    <w:p>
      <w:pPr>
        <w:pStyle w:val="FirstParagraph"/>
      </w:pPr>
      <w:hyperlink r:id="rId23">
        <w:r>
          <w:rPr>
            <w:rStyle w:val="Hyperlink"/>
          </w:rPr>
          <w:t xml:space="preserve">Stáhnout šablonu -&gt;</w:t>
        </w:r>
      </w:hyperlink>
    </w:p>
    <w:bookmarkStart w:id="24" w:name="kde-už-na-tom-pracují"/>
    <w:p>
      <w:pPr>
        <w:pStyle w:val="Heading2"/>
      </w:pPr>
      <w:r>
        <w:t xml:space="preserve">Kde už na tom pracují</w:t>
      </w:r>
    </w:p>
    <w:p>
      <w:pPr>
        <w:pStyle w:val="BlockText"/>
      </w:pPr>
      <w:r>
        <w:t xml:space="preserve">v přípravě</w:t>
      </w:r>
    </w:p>
    <w:bookmarkEnd w:id="24"/>
    <w:bookmarkEnd w:id="25"/>
    <w:bookmarkStart w:id="26" w:name="na-co-si-dát-pozor"/>
    <w:p>
      <w:pPr>
        <w:pStyle w:val="Heading1"/>
      </w:pPr>
      <w:r>
        <w:t xml:space="preserve">Na co si dát pozor</w:t>
      </w:r>
    </w:p>
    <w:p>
      <w:pPr>
        <w:pStyle w:val="FirstParagraph"/>
      </w:pPr>
      <w:r>
        <w:t xml:space="preserve">Program BETA s sebou nese několik výzev na které je potřeba dávat pozor. Chtěli bychom zdůraznit nutnost zodpovědně pracovat s jednotlivými rolemi, které na ministerstvu a na TA ČR v rámci jednotlivých projektů je potřeba zastávat. Vyjasněnost odpovědností pro jednotlivé role může dlouhodobě ušetřit mnoho času a také zajistit větší využitelnost výstupů projektu.</w:t>
      </w:r>
    </w:p>
    <w:p>
      <w:pPr>
        <w:pStyle w:val="BodyText"/>
      </w:pPr>
      <w:r>
        <w:t xml:space="preserve">Také je dobré mít na paměti, že existují různé módy využití výzkumu - nejde jen o to, že se někdo v jeden moment na základě jedné studie rozhodne jinak. V tomto smyslu je důležité starat se o analýzy a přemýšlet nad tím, pro koho by mohli být relevantní.</w:t>
      </w:r>
    </w:p>
    <w:p>
      <w:pPr>
        <w:pStyle w:val="BodyText"/>
      </w:pPr>
      <w:r>
        <w:t xml:space="preserve">Pokud se někoho ptáme (např. na jejich potřeby v rámci daného výzkumného projektu), je potřeba aby z toho také něco mělil. Měli bychom alespoň komunikovat, jak informace, které nám poskytl vedly k té či té změně, nebo proč jsme se nakonec rozhodli jeho přání nevyplnit. Bez této zpětné vazby budou vztahy deteriovat a časem již žádné informace nezískáme.</w:t>
      </w:r>
    </w:p>
    <w:bookmarkEnd w:id="26"/>
    <w:bookmarkStart w:id="32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hyperlink r:id="rId27">
        <w:r>
          <w:rPr>
            <w:rStyle w:val="Hyperlink"/>
          </w:rPr>
          <w:t xml:space="preserve">Přehled projektů BETA 2012-2023</w:t>
        </w:r>
      </w:hyperlink>
    </w:p>
    <w:p>
      <w:pPr>
        <w:pStyle w:val="BodyText"/>
      </w:pPr>
      <w:hyperlink r:id="rId28">
        <w:r>
          <w:rPr>
            <w:rStyle w:val="Hyperlink"/>
          </w:rPr>
          <w:t xml:space="preserve">STARFOS - přehled všech projektů aplikovaného výzkumu</w:t>
        </w:r>
      </w:hyperlink>
    </w:p>
    <w:p>
      <w:pPr>
        <w:pStyle w:val="BodyText"/>
      </w:pPr>
      <w:r>
        <w:t xml:space="preserve">Pro program TA ČR BETA 2 existujte Rada programu. Skládá se z tzv. Zástupců odborného gestora jednotlivých resortů a dalších institucí. Pokud jste jeden z nich, zde najdete své protějšky. Pokud chcete s programem BETA začít pracovat ve své organizaci, zde nejspíš najdete svého klíčového člověka.</w:t>
      </w:r>
      <w:r>
        <w:t xml:space="preserve"> </w:t>
      </w:r>
      <w:hyperlink r:id="rId29">
        <w:r>
          <w:rPr>
            <w:rStyle w:val="Hyperlink"/>
          </w:rPr>
          <w:t xml:space="preserve">Seznam členů Rady programy BETA 2</w:t>
        </w:r>
      </w:hyperlink>
      <w:r>
        <w:t xml:space="preserve">. Dá se předpokládat, že pro program BETA 3 zůstanou mnohé kontakty stejné.</w:t>
      </w:r>
    </w:p>
    <w:p>
      <w:pPr>
        <w:pStyle w:val="BodyText"/>
      </w:pPr>
      <w:r>
        <w:t xml:space="preserve">V oficiální</w:t>
      </w:r>
      <w:r>
        <w:t xml:space="preserve"> </w:t>
      </w:r>
      <w:hyperlink r:id="rId30">
        <w:r>
          <w:rPr>
            <w:rStyle w:val="Hyperlink"/>
          </w:rPr>
          <w:t xml:space="preserve">dokumentaci k programu</w:t>
        </w:r>
      </w:hyperlink>
      <w:r>
        <w:t xml:space="preserve"> </w:t>
      </w:r>
      <w:r>
        <w:t xml:space="preserve">najdete mj. seznam výzkumných potřeb, pro které jednotlivé resorty chtěly programy BETA2 využít. Aktualizované přehledy lze očekávat v dokumentaci BETA3 a užitečné mohou být i analogické</w:t>
      </w:r>
      <w:r>
        <w:t xml:space="preserve"> </w:t>
      </w:r>
      <w:hyperlink r:id="rId31">
        <w:r>
          <w:rPr>
            <w:rStyle w:val="Hyperlink"/>
          </w:rPr>
          <w:t xml:space="preserve">výčty pro program SIGMA</w:t>
        </w:r>
      </w:hyperlink>
      <w:r>
        <w:t xml:space="preserve">.</w:t>
      </w:r>
    </w:p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../nastroje/beta" TargetMode="External" /><Relationship Type="http://schemas.openxmlformats.org/officeDocument/2006/relationships/hyperlink" Id="rId20" Target="../pripadove-studie/msmt" TargetMode="External" /><Relationship Type="http://schemas.openxmlformats.org/officeDocument/2006/relationships/hyperlink" Id="rId23" Target="attachments/zadavani-vyzkumu.docx" TargetMode="External" /><Relationship Type="http://schemas.openxmlformats.org/officeDocument/2006/relationships/hyperlink" Id="rId28" Target="https://starfos.tacr.cz" TargetMode="External" /><Relationship Type="http://schemas.openxmlformats.org/officeDocument/2006/relationships/hyperlink" Id="rId30" Target="https://www.tacr.cz/wp-content/uploads/documents/2019/09/26/1569486911_TACR_Program%20BETA2.pdf" TargetMode="External" /><Relationship Type="http://schemas.openxmlformats.org/officeDocument/2006/relationships/hyperlink" Id="rId31" Target="https://www.tacr.cz/wp-content/uploads/documents/2022/10/25/1666708706_Tematick%C3%A9%20preference%20mo%C5%BEn%C3%BDch%20aplika%C4%8Dn%C3%ADch%20garant%C5%AF.pdf" TargetMode="External" /><Relationship Type="http://schemas.openxmlformats.org/officeDocument/2006/relationships/hyperlink" Id="rId29" Target="https://www.tacr.cz/wp-content/uploads/documents/2023/08/29/1693300763_BETA2_Seznam%20%C4%8Dlen%C5%AF%20Rady%20programu%20V22.pdf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../nastroje/beta" TargetMode="External" /><Relationship Type="http://schemas.openxmlformats.org/officeDocument/2006/relationships/hyperlink" Id="rId20" Target="../pripadove-studie/msmt" TargetMode="External" /><Relationship Type="http://schemas.openxmlformats.org/officeDocument/2006/relationships/hyperlink" Id="rId23" Target="attachments/zadavani-vyzkumu.docx" TargetMode="External" /><Relationship Type="http://schemas.openxmlformats.org/officeDocument/2006/relationships/hyperlink" Id="rId28" Target="https://starfos.tacr.cz" TargetMode="External" /><Relationship Type="http://schemas.openxmlformats.org/officeDocument/2006/relationships/hyperlink" Id="rId30" Target="https://www.tacr.cz/wp-content/uploads/documents/2019/09/26/1569486911_TACR_Program%20BETA2.pdf" TargetMode="External" /><Relationship Type="http://schemas.openxmlformats.org/officeDocument/2006/relationships/hyperlink" Id="rId31" Target="https://www.tacr.cz/wp-content/uploads/documents/2022/10/25/1666708706_Tematick%C3%A9%20preference%20mo%C5%BEn%C3%BDch%20aplika%C4%8Dn%C3%ADch%20garant%C5%AF.pdf" TargetMode="External" /><Relationship Type="http://schemas.openxmlformats.org/officeDocument/2006/relationships/hyperlink" Id="rId29" Target="https://www.tacr.cz/wp-content/uploads/documents/2023/08/29/1693300763_BETA2_Seznam%20%C4%8Dlen%C5%AF%20Rady%20programu%20V2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Využití programu BETA</dc:title>
  <dc:creator/>
  <dc:description>Domů &gt; Průvodce &gt; Využití programu BETA</dc:description>
  <cp:keywords/>
  <dcterms:created xsi:type="dcterms:W3CDTF">2024-05-02T17:55:06Z</dcterms:created>
  <dcterms:modified xsi:type="dcterms:W3CDTF">2024-05-02T17:55:06Z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blok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6</vt:lpwstr>
  </property>
  <property fmtid="{D5CDD505-2E9C-101B-9397-08002B2CF9AE}" pid="12" name="subtitle">
    <vt:lpwstr>Jak pořídit výzkum přes zakázky aplikovaného výzkumu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