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Další</w:t>
      </w:r>
      <w:r>
        <w:t xml:space="preserve"> </w:t>
      </w:r>
      <w:r>
        <w:t xml:space="preserve">metody</w:t>
      </w:r>
      <w:r>
        <w:t xml:space="preserve"> </w:t>
      </w:r>
      <w:r>
        <w:t xml:space="preserve">práce</w:t>
      </w:r>
      <w:r>
        <w:t xml:space="preserve"> </w:t>
      </w:r>
      <w:r>
        <w:t xml:space="preserve">s</w:t>
      </w:r>
      <w:r>
        <w:t xml:space="preserve"> </w:t>
      </w:r>
      <w:r>
        <w:t xml:space="preserve">poznatky</w:t>
      </w:r>
    </w:p>
    <w:p>
      <w:pPr>
        <w:pStyle w:val="Subtitle"/>
      </w:pPr>
      <w:r>
        <w:t xml:space="preserve">Rozcestník</w:t>
      </w:r>
      <w:r>
        <w:t xml:space="preserve"> </w:t>
      </w:r>
      <w:r>
        <w:t xml:space="preserve">metodologických</w:t>
      </w:r>
      <w:r>
        <w:t xml:space="preserve"> </w:t>
      </w:r>
      <w:r>
        <w:t xml:space="preserve">průvodců</w:t>
      </w:r>
      <w:r>
        <w:t xml:space="preserve"> </w:t>
      </w:r>
      <w:r>
        <w:t xml:space="preserve">a</w:t>
      </w:r>
      <w:r>
        <w:t xml:space="preserve"> </w:t>
      </w:r>
      <w:r>
        <w:t xml:space="preserve">příruček</w:t>
      </w:r>
    </w:p>
    <w:bookmarkStart w:id="23" w:name="co-tu-najdete"/>
    <w:p>
      <w:pPr>
        <w:pStyle w:val="Heading1"/>
      </w:pPr>
      <w:r>
        <w:t xml:space="preserve">Co tu najdete</w:t>
      </w:r>
    </w:p>
    <w:p>
      <w:pPr>
        <w:pStyle w:val="FirstParagraph"/>
      </w:pPr>
      <w:r>
        <w:t xml:space="preserve">Zde nabízíme odkazy na veřejně (většinou online) dostupné publikace a nástroje, které zatím nenašly místo v žádném z našich návodů. Většinou jde o zdroje týkající se konkrétních analytických a výzkumných metod.</w:t>
      </w:r>
    </w:p>
    <w:p>
      <w:pPr>
        <w:pStyle w:val="BodyText"/>
      </w:pPr>
      <w:r>
        <w:rPr>
          <w:bCs/>
          <w:b/>
        </w:rPr>
        <w:t xml:space="preserve">Jak se dostat k dalším zdrojům</w:t>
      </w:r>
    </w:p>
    <w:p>
      <w:pPr>
        <w:pStyle w:val="BodyText"/>
      </w:pPr>
      <w:r>
        <w:t xml:space="preserve">Pokud nemáte přístup k univerzitní knihovně</w:t>
      </w:r>
      <w:r>
        <w:t xml:space="preserve"> </w:t>
      </w:r>
      <w:hyperlink r:id="rId20">
        <w:r>
          <w:rPr>
            <w:rStyle w:val="Hyperlink"/>
          </w:rPr>
          <w:t xml:space="preserve">Národní knihovna</w:t>
        </w:r>
      </w:hyperlink>
      <w:r>
        <w:t xml:space="preserve"> </w:t>
      </w:r>
      <w:r>
        <w:t xml:space="preserve">a</w:t>
      </w:r>
      <w:r>
        <w:t xml:space="preserve"> </w:t>
      </w:r>
      <w:hyperlink r:id="rId21">
        <w:r>
          <w:rPr>
            <w:rStyle w:val="Hyperlink"/>
          </w:rPr>
          <w:t xml:space="preserve">Národní technická knihovna</w:t>
        </w:r>
      </w:hyperlink>
      <w:r>
        <w:t xml:space="preserve"> </w:t>
      </w:r>
      <w:r>
        <w:t xml:space="preserve">nabízejí (vzdálený) online přístup k mnoha odborným časopisům i specializovaným knihám.</w:t>
      </w:r>
    </w:p>
    <w:p>
      <w:pPr>
        <w:pStyle w:val="BodyText"/>
      </w:pPr>
      <w:r>
        <w:t xml:space="preserve">Členství v každé z nich stojí řádově stokoruny ročně, vyplatí se to.</w:t>
      </w:r>
    </w:p>
    <w:p>
      <w:pPr>
        <w:pStyle w:val="BodyText"/>
      </w:pPr>
      <w:r>
        <w:t xml:space="preserve">Knihovna Akademie věd také</w:t>
      </w:r>
      <w:r>
        <w:t xml:space="preserve"> </w:t>
      </w:r>
      <w:hyperlink r:id="rId22">
        <w:r>
          <w:rPr>
            <w:rStyle w:val="Hyperlink"/>
          </w:rPr>
          <w:t xml:space="preserve">nabízí členství externistům</w:t>
        </w:r>
      </w:hyperlink>
      <w:r>
        <w:t xml:space="preserve">.</w:t>
      </w:r>
    </w:p>
    <w:p>
      <w:pPr>
        <w:pStyle w:val="BodyText"/>
      </w:pPr>
      <w:r>
        <w:t xml:space="preserve">Přístup do knihovny Vám možná umožní i Vaše univerzita coby absolventovi*ce.</w:t>
      </w:r>
    </w:p>
    <w:p>
      <w:pPr>
        <w:pStyle w:val="BodyText"/>
      </w:pPr>
      <w:r>
        <w:t xml:space="preserve">Přednostně vybíráme ty zaměřené na praktiky a nespecialisty.</w:t>
      </w:r>
    </w:p>
    <w:p>
      <w:pPr>
        <w:pStyle w:val="BlockText"/>
      </w:pPr>
      <w:r>
        <w:rPr>
          <w:bCs/>
          <w:b/>
        </w:rPr>
        <w:t xml:space="preserve">Odkazy na webové zdroje</w:t>
      </w:r>
    </w:p>
    <w:p>
      <w:pPr>
        <w:pStyle w:val="BlockText"/>
      </w:pPr>
      <w:r>
        <w:t xml:space="preserve">Většina odkazovaných zdrojů je dostupných online, z velké části volně.</w:t>
      </w:r>
    </w:p>
    <w:p>
      <w:pPr>
        <w:pStyle w:val="BlockText"/>
      </w:pPr>
      <w:r>
        <w:t xml:space="preserve">Odkazy najdete buď přímo u daného zdroje, nebo v citaci po najetí na jména autorů v závorce, případně po kliknutí v seznamu citací na konci stránky.</w:t>
      </w:r>
    </w:p>
    <w:bookmarkEnd w:id="23"/>
    <w:bookmarkStart w:id="31" w:name="metodologické-příručky-a-přehledy"/>
    <w:p>
      <w:pPr>
        <w:pStyle w:val="Heading1"/>
      </w:pPr>
      <w:r>
        <w:t xml:space="preserve">Metodologické příručky a přehledy</w:t>
      </w:r>
    </w:p>
    <w:p>
      <w:pPr>
        <w:numPr>
          <w:ilvl w:val="0"/>
          <w:numId w:val="1001"/>
        </w:numPr>
        <w:pStyle w:val="Compact"/>
      </w:pPr>
      <w:r>
        <w:t xml:space="preserve">Laboratoř evaluací politik na Sciences-Po publikuje</w:t>
      </w:r>
      <w:r>
        <w:t xml:space="preserve"> </w:t>
      </w:r>
      <w:hyperlink r:id="rId24">
        <w:r>
          <w:rPr>
            <w:rStyle w:val="Hyperlink"/>
          </w:rPr>
          <w:t xml:space="preserve">několikastránková představení</w:t>
        </w:r>
      </w:hyperlink>
      <w:r>
        <w:t xml:space="preserve"> </w:t>
      </w:r>
      <w:r>
        <w:t xml:space="preserve">základních i specializovaných metod relevantních pro veřejné politiky.</w:t>
      </w:r>
    </w:p>
    <w:p>
      <w:pPr>
        <w:numPr>
          <w:ilvl w:val="0"/>
          <w:numId w:val="1001"/>
        </w:numPr>
        <w:pStyle w:val="Compact"/>
      </w:pPr>
      <w:r>
        <w:t xml:space="preserve">V českém prostředí dobrý úvod do evaluační práce – použitelný i pro neevaluátory nabízí</w:t>
      </w:r>
      <w:r>
        <w:t xml:space="preserve"> </w:t>
      </w:r>
      <w:hyperlink r:id="rId25">
        <w:r>
          <w:rPr>
            <w:rStyle w:val="Hyperlink"/>
          </w:rPr>
          <w:t xml:space="preserve">Průvodce evaluátora</w:t>
        </w:r>
      </w:hyperlink>
      <w:r>
        <w:t xml:space="preserve"> </w:t>
      </w:r>
      <w:r>
        <w:t xml:space="preserve">z dílny Evaluační jednotky Národního orgánu pro koordinaci na MMR – jeden z našich zapojených útvarů!</w:t>
      </w:r>
    </w:p>
    <w:p>
      <w:pPr>
        <w:numPr>
          <w:ilvl w:val="0"/>
          <w:numId w:val="1001"/>
        </w:numPr>
        <w:pStyle w:val="Compact"/>
      </w:pPr>
      <w:r>
        <w:t xml:space="preserve">Pro širší uchopení lze doporučit i Science for Policy Handbook od kolektivu autorů z Joint Research Center Evropské komise</w:t>
      </w:r>
      <w:r>
        <w:t xml:space="preserve"> </w:t>
      </w:r>
      <w:r>
        <w:t xml:space="preserve">[@suchaSciencePolicyHandbook2020]</w:t>
      </w:r>
      <w:r>
        <w:t xml:space="preserve">.</w:t>
      </w:r>
    </w:p>
    <w:p>
      <w:pPr>
        <w:numPr>
          <w:ilvl w:val="0"/>
          <w:numId w:val="1001"/>
        </w:numPr>
        <w:pStyle w:val="Compact"/>
      </w:pPr>
      <w:hyperlink r:id="rId26">
        <w:r>
          <w:rPr>
            <w:rStyle w:val="Hyperlink"/>
          </w:rPr>
          <w:t xml:space="preserve">BetterEvaluation</w:t>
        </w:r>
      </w:hyperlink>
      <w:r>
        <w:t xml:space="preserve"> </w:t>
      </w:r>
      <w:r>
        <w:t xml:space="preserve">je rozcestník evaluačních a příbuzných metod a přístupů.</w:t>
      </w:r>
    </w:p>
    <w:p>
      <w:pPr>
        <w:numPr>
          <w:ilvl w:val="0"/>
          <w:numId w:val="1001"/>
        </w:numPr>
        <w:pStyle w:val="Compact"/>
      </w:pPr>
      <w:r>
        <w:t xml:space="preserve">Evropská komise udržuje tzv.</w:t>
      </w:r>
      <w:r>
        <w:t xml:space="preserve"> </w:t>
      </w:r>
      <w:hyperlink r:id="rId27">
        <w:r>
          <w:rPr>
            <w:rStyle w:val="Hyperlink"/>
          </w:rPr>
          <w:t xml:space="preserve">Better Regulation Toolbox</w:t>
        </w:r>
      </w:hyperlink>
      <w:r>
        <w:t xml:space="preserve">, což je zásobník metod a postupů pro tvorbu regulací a veřejných politik.</w:t>
      </w:r>
    </w:p>
    <w:p>
      <w:pPr>
        <w:numPr>
          <w:ilvl w:val="0"/>
          <w:numId w:val="1001"/>
        </w:numPr>
        <w:pStyle w:val="Compact"/>
      </w:pPr>
      <w:r>
        <w:t xml:space="preserve">Pro české prostřední velmi užitečná je publikace</w:t>
      </w:r>
      <w:r>
        <w:t xml:space="preserve"> </w:t>
      </w:r>
      <w:r>
        <w:rPr>
          <w:bCs/>
          <w:b/>
        </w:rPr>
        <w:t xml:space="preserve">Fantastická data ve veřejné politice a jak je využít</w:t>
      </w:r>
      <w:r>
        <w:t xml:space="preserve"> </w:t>
      </w:r>
      <w:r>
        <w:t xml:space="preserve">[@hejzlarovaFantastickaDataVe2023]</w:t>
      </w:r>
      <w:r>
        <w:t xml:space="preserve">. Navzdory názvu většinou nejde o data kvantitativní, ale o to, jak pracovat se širokým spektrem zdrojů jako s daty – od legislativních a administrativních textů přes mediální data a analýzu diskursu po systematické rešerše literatury a využití zahraničních prací. To vše s zachyceno v prostřední analýzy veřejných politik a s příklady z reálných výzkumů a analýz.</w:t>
      </w:r>
    </w:p>
    <w:bookmarkStart w:id="29" w:name="zkoumání-veřejné-správy"/>
    <w:p>
      <w:pPr>
        <w:pStyle w:val="Heading2"/>
      </w:pPr>
      <w:r>
        <w:t xml:space="preserve">Zkoumání veřejné správy</w:t>
      </w:r>
    </w:p>
    <w:p>
      <w:pPr>
        <w:pStyle w:val="FirstParagraph"/>
      </w:pPr>
      <w:r>
        <w:t xml:space="preserve">Pokud se vaše analytická práce dotýká veřejné správy samotné, mohl by vám přijít vhod</w:t>
      </w:r>
      <w:r>
        <w:t xml:space="preserve"> </w:t>
      </w:r>
      <w:r>
        <w:rPr>
          <w:iCs/>
          <w:i/>
        </w:rPr>
        <w:t xml:space="preserve">The Government Analytics Handbook: Leveraging Data to Strengthen Public Administration</w:t>
      </w:r>
      <w:r>
        <w:t xml:space="preserve"> </w:t>
      </w:r>
      <w:r>
        <w:t xml:space="preserve">[@roggerGovernmentAnalyticsHandbook2023]</w:t>
      </w:r>
      <w:r>
        <w:t xml:space="preserve">, dostupná na</w:t>
      </w:r>
      <w:r>
        <w:t xml:space="preserve"> </w:t>
      </w:r>
      <w:hyperlink r:id="rId28">
        <w:r>
          <w:rPr>
            <w:rStyle w:val="Hyperlink"/>
          </w:rPr>
          <w:t xml:space="preserve">https://www.worldbank.org/en/publication/government-analytics</w:t>
        </w:r>
      </w:hyperlink>
      <w:r>
        <w:t xml:space="preserve">.</w:t>
      </w:r>
    </w:p>
    <w:bookmarkEnd w:id="29"/>
    <w:bookmarkStart w:id="30" w:name="dotazníková-šetření"/>
    <w:p>
      <w:pPr>
        <w:pStyle w:val="Heading2"/>
      </w:pPr>
      <w:r>
        <w:t xml:space="preserve">Dotazníková šetření</w:t>
      </w:r>
    </w:p>
    <w:p>
      <w:pPr>
        <w:pStyle w:val="FirstParagraph"/>
      </w:pPr>
      <w:r>
        <w:t xml:space="preserve">Ledacos k nim najdete v publikacích odkazovaných výše; nás ale zaujal nedávný přehled literatury na téma</w:t>
      </w:r>
      <w:r>
        <w:t xml:space="preserve"> </w:t>
      </w:r>
      <w:r>
        <w:t xml:space="preserve">“</w:t>
      </w:r>
      <w:r>
        <w:t xml:space="preserve">jak správně pokládat otázky</w:t>
      </w:r>
      <w:r>
        <w:t xml:space="preserve">”</w:t>
      </w:r>
      <w:r>
        <w:t xml:space="preserve"> </w:t>
      </w:r>
      <w:r>
        <w:t xml:space="preserve">[@schaefferAdvancesScienceAsking2020]</w:t>
      </w:r>
      <w:r>
        <w:t xml:space="preserve">.</w:t>
      </w:r>
    </w:p>
    <w:bookmarkEnd w:id="30"/>
    <w:bookmarkEnd w:id="31"/>
    <w:bookmarkStart w:id="39" w:name="kauzalita-evaluace-dopady"/>
    <w:p>
      <w:pPr>
        <w:pStyle w:val="Heading1"/>
      </w:pPr>
      <w:r>
        <w:t xml:space="preserve">Kauzalita, evaluace, dopady</w:t>
      </w:r>
    </w:p>
    <w:p>
      <w:pPr>
        <w:pStyle w:val="FirstParagraph"/>
      </w:pPr>
      <w:r>
        <w:t xml:space="preserve">Zásadní pro práci s poznatky v oblasti veřejných politik je porozumění kauzalitě a jak ji zkoumat. Níže několik nedávných publikací zaměřených většinou na praktiky.</w:t>
      </w:r>
    </w:p>
    <w:p>
      <w:pPr>
        <w:numPr>
          <w:ilvl w:val="0"/>
          <w:numId w:val="1002"/>
        </w:numPr>
      </w:pPr>
      <w:r>
        <w:t xml:space="preserve">Úvod do hodnocení dopadů přináší</w:t>
      </w:r>
      <w:r>
        <w:t xml:space="preserve"> </w:t>
      </w:r>
      <w:r>
        <w:rPr>
          <w:iCs/>
          <w:i/>
        </w:rPr>
        <w:t xml:space="preserve">Impact Evaluation A Guide for Commissioners and Managers</w:t>
      </w:r>
      <w:r>
        <w:t xml:space="preserve"> </w:t>
      </w:r>
      <w:r>
        <w:t xml:space="preserve">[@sternImpactEvaluationGuide2015]</w:t>
      </w:r>
      <w:r>
        <w:t xml:space="preserve">.</w:t>
      </w:r>
    </w:p>
    <w:p>
      <w:pPr>
        <w:numPr>
          <w:ilvl w:val="0"/>
          <w:numId w:val="1002"/>
        </w:numPr>
      </w:pPr>
      <w:r>
        <w:t xml:space="preserve">Spektrum metod použitelných pro kauzální usuzování v evaluaci veřejných politik představuje report vzniklý pro britské ministerstvo mezinárodního rozvoje</w:t>
      </w:r>
      <w:r>
        <w:t xml:space="preserve"> </w:t>
      </w:r>
      <w:r>
        <w:t xml:space="preserve">[@sternBroadeningRangeDesigns2012]</w:t>
      </w:r>
    </w:p>
    <w:p>
      <w:pPr>
        <w:numPr>
          <w:ilvl w:val="0"/>
          <w:numId w:val="1002"/>
        </w:numPr>
      </w:pPr>
      <w:r>
        <w:t xml:space="preserve">Ucelené (zde spíše odbornější) pojednání mixed methods přístupů ke zkoumání kauzálních vztahů najdete v</w:t>
      </w:r>
      <w:r>
        <w:t xml:space="preserve"> </w:t>
      </w:r>
      <w:r>
        <w:t xml:space="preserve">[@humphreysIntegratedInferencesCausal2023]</w:t>
      </w:r>
      <w:r>
        <w:t xml:space="preserve">, dostupné na</w:t>
      </w:r>
      <w:r>
        <w:t xml:space="preserve"> </w:t>
      </w:r>
      <w:hyperlink r:id="rId32">
        <w:r>
          <w:rPr>
            <w:rStyle w:val="Hyperlink"/>
          </w:rPr>
          <w:t xml:space="preserve">https://macartan.github.io/integrated_inferences/</w:t>
        </w:r>
      </w:hyperlink>
      <w:r>
        <w:t xml:space="preserve">.</w:t>
      </w:r>
    </w:p>
    <w:p>
      <w:pPr>
        <w:numPr>
          <w:ilvl w:val="0"/>
          <w:numId w:val="1002"/>
        </w:numPr>
      </w:pPr>
      <w:r>
        <w:t xml:space="preserve">Velmi přístupné pojednání o moderních přístupek ke kauzalitě nabízí nedávná kniha</w:t>
      </w:r>
      <w:r>
        <w:t xml:space="preserve"> </w:t>
      </w:r>
      <w:r>
        <w:rPr>
          <w:iCs/>
          <w:i/>
        </w:rPr>
        <w:t xml:space="preserve">The Effect</w:t>
      </w:r>
      <w:r>
        <w:t xml:space="preserve"> </w:t>
      </w:r>
      <w:r>
        <w:t xml:space="preserve">[@huntington-kleinEffectIntroductionResearch2021]</w:t>
      </w:r>
      <w:r>
        <w:t xml:space="preserve">, dostupné na</w:t>
      </w:r>
      <w:r>
        <w:t xml:space="preserve"> </w:t>
      </w:r>
      <w:hyperlink r:id="rId33">
        <w:r>
          <w:rPr>
            <w:rStyle w:val="Hyperlink"/>
          </w:rPr>
          <w:t xml:space="preserve">https://theeffectbook.net/</w:t>
        </w:r>
      </w:hyperlink>
      <w:r>
        <w:t xml:space="preserve">.</w:t>
      </w:r>
    </w:p>
    <w:bookmarkStart w:id="38" w:name="zaostřeno-na-analýzy-kvantitativních-dat"/>
    <w:p>
      <w:pPr>
        <w:pStyle w:val="Heading2"/>
      </w:pPr>
      <w:r>
        <w:t xml:space="preserve">Zaostřeno na analýzy kvantitativních dat</w:t>
      </w:r>
    </w:p>
    <w:p>
      <w:pPr>
        <w:pStyle w:val="FirstParagraph"/>
      </w:pPr>
      <w:r>
        <w:t xml:space="preserve">Rohan Alexander v (online) knize</w:t>
      </w:r>
      <w:r>
        <w:t xml:space="preserve"> </w:t>
      </w:r>
      <w:r>
        <w:rPr>
          <w:iCs/>
          <w:i/>
        </w:rPr>
        <w:t xml:space="preserve">Telling Stories With Data</w:t>
      </w:r>
      <w:r>
        <w:t xml:space="preserve"> </w:t>
      </w:r>
      <w:r>
        <w:t xml:space="preserve">[@alexanderTellingStoriesData2023]</w:t>
      </w:r>
      <w:r>
        <w:t xml:space="preserve"> </w:t>
      </w:r>
      <w:r>
        <w:t xml:space="preserve">ukazuje celý proces analýzy dat i s důrazem na kvantitativní analytické metody zaměřené na kauzální usuzování, a zároveň uvádí příklady realizace jednotlivých úkolů v jazyce R.</w:t>
      </w:r>
    </w:p>
    <w:p>
      <w:pPr>
        <w:pStyle w:val="BodyText"/>
      </w:pPr>
      <w:r>
        <w:t xml:space="preserve">Matthew Salganik v knize</w:t>
      </w:r>
      <w:r>
        <w:t xml:space="preserve"> </w:t>
      </w:r>
      <w:r>
        <w:rPr>
          <w:iCs/>
          <w:i/>
        </w:rPr>
        <w:t xml:space="preserve">Bit by Bit: Social Research in the Digital Age</w:t>
      </w:r>
      <w:r>
        <w:t xml:space="preserve"> </w:t>
      </w:r>
      <w:r>
        <w:t xml:space="preserve">[@salganikBitBitSocial2019]</w:t>
      </w:r>
      <w:r>
        <w:t xml:space="preserve"> </w:t>
      </w:r>
      <w:r>
        <w:t xml:space="preserve">dostupné na</w:t>
      </w:r>
      <w:r>
        <w:t xml:space="preserve"> </w:t>
      </w:r>
      <w:hyperlink r:id="rId34">
        <w:r>
          <w:rPr>
            <w:rStyle w:val="Hyperlink"/>
          </w:rPr>
          <w:t xml:space="preserve">https://www.bitbybitbook.com/en/1st-ed/preface/</w:t>
        </w:r>
      </w:hyperlink>
      <w:r>
        <w:t xml:space="preserve"> </w:t>
      </w:r>
      <w:r>
        <w:t xml:space="preserve">ukazuje, jak společenskovědní výzkum může pracovat s dostupností velkého množství dat a digitálních technologií.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  <w:right w:val="single" w:sz="4" w:space="0" w:color="00A047"/>
          <w:top w:val="single" w:sz="4" w:space="0" w:color="00A047"/>
          <w:bottom w:val="single" w:sz="4" w:space="0" w:color="00A047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ccf1e3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36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tip.png" id="3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Připravujeme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 w:after="16"/>
            </w:pPr>
            <w:r>
              <w:t xml:space="preserve">Pro oblast analýzy kvantitativních dat připravujeme rozšíření průvodce o specializovaný návod.</w:t>
            </w:r>
          </w:p>
        </w:tc>
      </w:tr>
    </w:tbl>
    <w:bookmarkEnd w:id="38"/>
    <w:bookmarkEnd w:id="39"/>
    <w:bookmarkStart w:id="45" w:name="z-dílny-českých-priorit"/>
    <w:p>
      <w:pPr>
        <w:pStyle w:val="Heading1"/>
      </w:pPr>
      <w:r>
        <w:t xml:space="preserve">Z dílny Českých priorit</w:t>
      </w:r>
    </w:p>
    <w:p>
      <w:pPr>
        <w:pStyle w:val="FirstParagraph"/>
      </w:pPr>
      <w:r>
        <w:t xml:space="preserve">České priority nabízí materiály v několika oblastech:</w:t>
      </w:r>
    </w:p>
    <w:p>
      <w:pPr>
        <w:numPr>
          <w:ilvl w:val="0"/>
          <w:numId w:val="1003"/>
        </w:numPr>
      </w:pPr>
      <w:hyperlink r:id="rId40">
        <w:r>
          <w:rPr>
            <w:rStyle w:val="Hyperlink"/>
          </w:rPr>
          <w:t xml:space="preserve">Foresight</w:t>
        </w:r>
      </w:hyperlink>
      <w:r>
        <w:t xml:space="preserve"> </w:t>
      </w:r>
      <w:r>
        <w:t xml:space="preserve">–</w:t>
      </w:r>
      <w:r>
        <w:t xml:space="preserve"> </w:t>
      </w:r>
      <w:hyperlink r:id="rId41">
        <w:r>
          <w:rPr>
            <w:rStyle w:val="Hyperlink"/>
          </w:rPr>
          <w:t xml:space="preserve">příručka</w:t>
        </w:r>
      </w:hyperlink>
      <w:r>
        <w:t xml:space="preserve">,</w:t>
      </w:r>
      <w:r>
        <w:t xml:space="preserve"> </w:t>
      </w:r>
      <w:hyperlink r:id="rId42">
        <w:r>
          <w:rPr>
            <w:rStyle w:val="Hyperlink"/>
          </w:rPr>
          <w:t xml:space="preserve">slovníček pojmů</w:t>
        </w:r>
      </w:hyperlink>
      <w:r>
        <w:t xml:space="preserve">,</w:t>
      </w:r>
      <w:r>
        <w:t xml:space="preserve"> </w:t>
      </w:r>
      <w:hyperlink r:id="rId43">
        <w:r>
          <w:rPr>
            <w:rStyle w:val="Hyperlink"/>
          </w:rPr>
          <w:t xml:space="preserve">rozcestník metod</w:t>
        </w:r>
      </w:hyperlink>
    </w:p>
    <w:p>
      <w:pPr>
        <w:numPr>
          <w:ilvl w:val="0"/>
          <w:numId w:val="1003"/>
        </w:numPr>
      </w:pPr>
      <w:hyperlink r:id="rId44">
        <w:r>
          <w:rPr>
            <w:rStyle w:val="Hyperlink"/>
          </w:rPr>
          <w:t xml:space="preserve">Forecasting</w:t>
        </w:r>
      </w:hyperlink>
    </w:p>
    <w:p>
      <w:pPr>
        <w:numPr>
          <w:ilvl w:val="0"/>
          <w:numId w:val="1003"/>
        </w:numPr>
      </w:pPr>
      <w:r>
        <w:t xml:space="preserve">Cost-benefit analýza, viz mj. příručku</w:t>
      </w:r>
      <w:r>
        <w:t xml:space="preserve"> </w:t>
      </w:r>
      <w:r>
        <w:t xml:space="preserve">[@zapletalovaPruvodceAnalyzouNakladu2019]</w:t>
      </w:r>
    </w:p>
    <w:bookmarkEnd w:id="45"/>
    <w:bookmarkStart w:id="47" w:name="citace"/>
    <w:p>
      <w:pPr>
        <w:pStyle w:val="Heading1"/>
      </w:pPr>
      <w:r>
        <w:t xml:space="preserve">Citace</w:t>
      </w:r>
    </w:p>
    <w:bookmarkStart w:id="46" w:name="refs"/>
    <w:bookmarkEnd w:id="46"/>
    <w:bookmarkEnd w:id="4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5" Target="media/rId35.png" /><Relationship Type="http://schemas.openxmlformats.org/officeDocument/2006/relationships/hyperlink" Id="rId27" Target="https://commission.europa.eu/law/law-making-process/planning-and-proposing-law/better-regulation/better-regulation-guidelines-and-toolbox/better-regulation-toolbox_en" TargetMode="External" /><Relationship Type="http://schemas.openxmlformats.org/officeDocument/2006/relationships/hyperlink" Id="rId32" Target="https://macartan.github.io/integrated_inferences/" TargetMode="External" /><Relationship Type="http://schemas.openxmlformats.org/officeDocument/2006/relationships/hyperlink" Id="rId20" Target="https://nkp.cz" TargetMode="External" /><Relationship Type="http://schemas.openxmlformats.org/officeDocument/2006/relationships/hyperlink" Id="rId21" Target="https://techlib.cz" TargetMode="External" /><Relationship Type="http://schemas.openxmlformats.org/officeDocument/2006/relationships/hyperlink" Id="rId33" Target="https://theeffectbook.net/" TargetMode="External" /><Relationship Type="http://schemas.openxmlformats.org/officeDocument/2006/relationships/hyperlink" Id="rId26" Target="https://www.betterevaluation.org/" TargetMode="External" /><Relationship Type="http://schemas.openxmlformats.org/officeDocument/2006/relationships/hyperlink" Id="rId34" Target="https://www.bitbybitbook.com/en/1st-ed/preface/" TargetMode="External" /><Relationship Type="http://schemas.openxmlformats.org/officeDocument/2006/relationships/hyperlink" Id="rId41" Target="https://www.ceskepriority.cz/files/metodicka-prirucka.pdf" TargetMode="External" /><Relationship Type="http://schemas.openxmlformats.org/officeDocument/2006/relationships/hyperlink" Id="rId40" Target="https://www.ceskepriority.cz/foresight" TargetMode="External" /><Relationship Type="http://schemas.openxmlformats.org/officeDocument/2006/relationships/hyperlink" Id="rId43" Target="https://www.ceskepriority.cz/foresight#metody" TargetMode="External" /><Relationship Type="http://schemas.openxmlformats.org/officeDocument/2006/relationships/hyperlink" Id="rId42" Target="https://www.ceskepriority.cz/foresight/slovnicek-foresightovych-pojmu" TargetMode="External" /><Relationship Type="http://schemas.openxmlformats.org/officeDocument/2006/relationships/hyperlink" Id="rId44" Target="https://www.ceskepriority.cz/forpol" TargetMode="External" /><Relationship Type="http://schemas.openxmlformats.org/officeDocument/2006/relationships/hyperlink" Id="rId25" Target="https://www.dotaceeu.cz/getmedia/3ce5f6b9-24cc-4ac1-80d9-9eb769203f5a/Pruvodce-evaluatora_final_202007.pdf.aspx" TargetMode="External" /><Relationship Type="http://schemas.openxmlformats.org/officeDocument/2006/relationships/hyperlink" Id="rId22" Target="https://www.lib.cas.cz/sluzby/vypujcni-sluzby/registrace/" TargetMode="External" /><Relationship Type="http://schemas.openxmlformats.org/officeDocument/2006/relationships/hyperlink" Id="rId24" Target="https://www.sciencespo.fr/liepp/fr/publications.html#Fiches%20m%C3%A9thodologiques%20LIEPP" TargetMode="External" /><Relationship Type="http://schemas.openxmlformats.org/officeDocument/2006/relationships/hyperlink" Id="rId28" Target="https://www.worldbank.org/en/publication/government-analytic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s://commission.europa.eu/law/law-making-process/planning-and-proposing-law/better-regulation/better-regulation-guidelines-and-toolbox/better-regulation-toolbox_en" TargetMode="External" /><Relationship Type="http://schemas.openxmlformats.org/officeDocument/2006/relationships/hyperlink" Id="rId32" Target="https://macartan.github.io/integrated_inferences/" TargetMode="External" /><Relationship Type="http://schemas.openxmlformats.org/officeDocument/2006/relationships/hyperlink" Id="rId20" Target="https://nkp.cz" TargetMode="External" /><Relationship Type="http://schemas.openxmlformats.org/officeDocument/2006/relationships/hyperlink" Id="rId21" Target="https://techlib.cz" TargetMode="External" /><Relationship Type="http://schemas.openxmlformats.org/officeDocument/2006/relationships/hyperlink" Id="rId33" Target="https://theeffectbook.net/" TargetMode="External" /><Relationship Type="http://schemas.openxmlformats.org/officeDocument/2006/relationships/hyperlink" Id="rId26" Target="https://www.betterevaluation.org/" TargetMode="External" /><Relationship Type="http://schemas.openxmlformats.org/officeDocument/2006/relationships/hyperlink" Id="rId34" Target="https://www.bitbybitbook.com/en/1st-ed/preface/" TargetMode="External" /><Relationship Type="http://schemas.openxmlformats.org/officeDocument/2006/relationships/hyperlink" Id="rId41" Target="https://www.ceskepriority.cz/files/metodicka-prirucka.pdf" TargetMode="External" /><Relationship Type="http://schemas.openxmlformats.org/officeDocument/2006/relationships/hyperlink" Id="rId40" Target="https://www.ceskepriority.cz/foresight" TargetMode="External" /><Relationship Type="http://schemas.openxmlformats.org/officeDocument/2006/relationships/hyperlink" Id="rId43" Target="https://www.ceskepriority.cz/foresight#metody" TargetMode="External" /><Relationship Type="http://schemas.openxmlformats.org/officeDocument/2006/relationships/hyperlink" Id="rId42" Target="https://www.ceskepriority.cz/foresight/slovnicek-foresightovych-pojmu" TargetMode="External" /><Relationship Type="http://schemas.openxmlformats.org/officeDocument/2006/relationships/hyperlink" Id="rId44" Target="https://www.ceskepriority.cz/forpol" TargetMode="External" /><Relationship Type="http://schemas.openxmlformats.org/officeDocument/2006/relationships/hyperlink" Id="rId25" Target="https://www.dotaceeu.cz/getmedia/3ce5f6b9-24cc-4ac1-80d9-9eb769203f5a/Pruvodce-evaluatora_final_202007.pdf.aspx" TargetMode="External" /><Relationship Type="http://schemas.openxmlformats.org/officeDocument/2006/relationships/hyperlink" Id="rId22" Target="https://www.lib.cas.cz/sluzby/vypujcni-sluzby/registrace/" TargetMode="External" /><Relationship Type="http://schemas.openxmlformats.org/officeDocument/2006/relationships/hyperlink" Id="rId24" Target="https://www.sciencespo.fr/liepp/fr/publications.html#Fiches%20m%C3%A9thodologiques%20LIEPP" TargetMode="External" /><Relationship Type="http://schemas.openxmlformats.org/officeDocument/2006/relationships/hyperlink" Id="rId28" Target="https://www.worldbank.org/en/publication/government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Další metody práce s poznatky</dc:title>
  <dc:creator/>
  <dc:description>Domů &gt; Průvodce &gt; Další metody práce s poznatky</dc:description>
  <cp:keywords/>
  <dcterms:created xsi:type="dcterms:W3CDTF">2024-05-02T17:55:07Z</dcterms:created>
  <dcterms:modified xsi:type="dcterms:W3CDTF">2024-05-02T17:55:07Z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blok">
    <vt:lpwstr/>
  </property>
  <property fmtid="{D5CDD505-2E9C-101B-9397-08002B2CF9AE}" pid="4" name="citation-location">
    <vt:lpwstr>document</vt:lpwstr>
  </property>
  <property fmtid="{D5CDD505-2E9C-101B-9397-08002B2CF9AE}" pid="5" name="editor">
    <vt:lpwstr>source</vt:lpwstr>
  </property>
  <property fmtid="{D5CDD505-2E9C-101B-9397-08002B2CF9AE}" pid="6" name="header-includes">
    <vt:lpwstr/>
  </property>
  <property fmtid="{D5CDD505-2E9C-101B-9397-08002B2CF9AE}" pid="7" name="include-after">
    <vt:lpwstr/>
  </property>
  <property fmtid="{D5CDD505-2E9C-101B-9397-08002B2CF9AE}" pid="8" name="include-before">
    <vt:lpwstr/>
  </property>
  <property fmtid="{D5CDD505-2E9C-101B-9397-08002B2CF9AE}" pid="9" name="labels">
    <vt:lpwstr/>
  </property>
  <property fmtid="{D5CDD505-2E9C-101B-9397-08002B2CF9AE}" pid="10" name="poradi">
    <vt:lpwstr>30</vt:lpwstr>
  </property>
  <property fmtid="{D5CDD505-2E9C-101B-9397-08002B2CF9AE}" pid="11" name="subtitle">
    <vt:lpwstr>Rozcestník metodologických průvodců a příruček</vt:lpwstr>
  </property>
  <property fmtid="{D5CDD505-2E9C-101B-9397-08002B2CF9AE}" pid="12" name="title-block-banner">
    <vt:lpwstr>True</vt:lpwstr>
  </property>
  <property fmtid="{D5CDD505-2E9C-101B-9397-08002B2CF9AE}" pid="13" name="title-block-categories">
    <vt:lpwstr>False</vt:lpwstr>
  </property>
  <property fmtid="{D5CDD505-2E9C-101B-9397-08002B2CF9AE}" pid="14" name="toc-title">
    <vt:lpwstr>Table of contents</vt:lpwstr>
  </property>
  <property fmtid="{D5CDD505-2E9C-101B-9397-08002B2CF9AE}" pid="15" name="uplevel">
    <vt:lpwstr>Průvodce</vt:lpwstr>
  </property>
  <property fmtid="{D5CDD505-2E9C-101B-9397-08002B2CF9AE}" pid="16" name="uplevel-url">
    <vt:lpwstr>/pruvodce/index.html</vt:lpwstr>
  </property>
</Properties>
</file>