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2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Kvalitní</w:t>
      </w:r>
      <w:r>
        <w:t xml:space="preserve"> </w:t>
      </w:r>
      <w:r>
        <w:t xml:space="preserve">a</w:t>
      </w:r>
      <w:r>
        <w:t xml:space="preserve"> </w:t>
      </w:r>
      <w:r>
        <w:t xml:space="preserve">efektivní</w:t>
      </w:r>
      <w:r>
        <w:t xml:space="preserve"> </w:t>
      </w:r>
      <w:r>
        <w:t xml:space="preserve">zprávy</w:t>
      </w:r>
    </w:p>
    <w:p>
      <w:pPr>
        <w:pStyle w:val="Subtitle"/>
      </w:pPr>
      <w:r>
        <w:t xml:space="preserve">Aby</w:t>
      </w:r>
      <w:r>
        <w:t xml:space="preserve"> </w:t>
      </w:r>
      <w:r>
        <w:t xml:space="preserve">se</w:t>
      </w:r>
      <w:r>
        <w:t xml:space="preserve"> </w:t>
      </w:r>
      <w:r>
        <w:t xml:space="preserve">vaše</w:t>
      </w:r>
      <w:r>
        <w:t xml:space="preserve"> </w:t>
      </w:r>
      <w:r>
        <w:t xml:space="preserve">reporty</w:t>
      </w:r>
      <w:r>
        <w:t xml:space="preserve"> </w:t>
      </w:r>
      <w:r>
        <w:t xml:space="preserve">dobře</w:t>
      </w:r>
      <w:r>
        <w:t xml:space="preserve"> </w:t>
      </w:r>
      <w:r>
        <w:t xml:space="preserve">četly</w:t>
      </w:r>
    </w:p>
    <w:bookmarkStart w:id="25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Kvalita analytických výstupů nespočívá pouze v metodologicky dobře odvedené práci, ale i ve způsobu předávání informací. Ten často determinuje, zda budou mít sdělované poznatky dopad na své adresáty.</w:t>
      </w:r>
    </w:p>
    <w:p>
      <w:pPr>
        <w:pStyle w:val="BodyText"/>
      </w:pPr>
      <w:r>
        <w:t xml:space="preserve">Tento návod se zaměřuje na psané zprávy. Najdete zde tipy, jak psát tak, aby text byl pro vaše publikum co nejpřístupnější.</w:t>
      </w:r>
    </w:p>
    <w:p>
      <w:pPr>
        <w:pStyle w:val="BodyText"/>
      </w:pPr>
      <w:r>
        <w:t xml:space="preserve">Nejde o jednotlitý návod nebo kompletní popis</w:t>
      </w:r>
      <w:r>
        <w:t xml:space="preserve"> </w:t>
      </w:r>
      <w:r>
        <w:t xml:space="preserve">“</w:t>
      </w:r>
      <w:r>
        <w:t xml:space="preserve">jediné správné cesty</w:t>
      </w:r>
      <w:r>
        <w:t xml:space="preserve">”</w:t>
      </w:r>
      <w:r>
        <w:t xml:space="preserve">. Spíše je to sada podnětů a rad, které vám umožní si utříbit myšlenky a najít si pomůcky, kterých se můžete držet.</w:t>
      </w:r>
    </w:p>
    <w:p>
      <w:pPr>
        <w:pStyle w:val="BodyText"/>
      </w:pPr>
      <w:r>
        <w:rPr>
          <w:bCs/>
          <w:b/>
        </w:rPr>
        <w:t xml:space="preserve">Případové studie</w:t>
      </w:r>
    </w:p>
    <w:p>
      <w:pPr>
        <w:pStyle w:val="BodyText"/>
      </w:pPr>
      <w:r>
        <w:t xml:space="preserve">Tento návod jsme vyvinuli a testovali ve spolupráci s týmem EJ NOK na MMR.</w:t>
      </w:r>
    </w:p>
    <w:p>
      <w:pPr>
        <w:pStyle w:val="BodyText"/>
      </w:pPr>
    </w:p>
    <w:p>
      <w:pPr>
        <w:pStyle w:val="BodyText"/>
      </w:pPr>
      <w:hyperlink r:id="rId20">
        <w:r>
          <w:rPr>
            <w:rStyle w:val="Hyperlink"/>
          </w:rPr>
          <w:t xml:space="preserve">přečíst případovou studii</w:t>
        </w:r>
      </w:hyperlink>
    </w:p>
    <w:p>
      <w:pPr>
        <w:pStyle w:val="BlockText"/>
      </w:pPr>
      <w:r>
        <w:rPr>
          <w:bCs/>
          <w:b/>
        </w:rPr>
        <w:t xml:space="preserve">Související návody</w:t>
      </w:r>
    </w:p>
    <w:p>
      <w:pPr>
        <w:pStyle w:val="BlockText"/>
      </w:pPr>
      <w:r>
        <w:t xml:space="preserve">Větší zprávy často jsou výsledkem externího zadání – viz návod</w:t>
      </w:r>
      <w:r>
        <w:t xml:space="preserve"> </w:t>
      </w:r>
      <w:hyperlink r:id="rId21">
        <w:r>
          <w:rPr>
            <w:rStyle w:val="Hyperlink"/>
          </w:rPr>
          <w:t xml:space="preserve">Řízení externího výzkumu</w:t>
        </w:r>
      </w:hyperlink>
      <w:r>
        <w:t xml:space="preserve">.</w:t>
      </w:r>
    </w:p>
    <w:p>
      <w:pPr>
        <w:pStyle w:val="BlockText"/>
      </w:pPr>
      <w:r>
        <w:t xml:space="preserve">I zpráva je produkt pro uživatele, proto se vám může hodit</w:t>
      </w:r>
      <w:r>
        <w:t xml:space="preserve"> </w:t>
      </w:r>
      <w:hyperlink r:id="rId22">
        <w:r>
          <w:rPr>
            <w:rStyle w:val="Hyperlink"/>
          </w:rPr>
          <w:t xml:space="preserve">uživatelský výzkum a testování</w:t>
        </w:r>
      </w:hyperlink>
      <w:r>
        <w:t xml:space="preserve">.</w:t>
      </w:r>
    </w:p>
    <w:p>
      <w:pPr>
        <w:pStyle w:val="BlockText"/>
      </w:pPr>
      <w:r>
        <w:t xml:space="preserve">Pokud ve svém reportu používáte vizualizace dat, máme pro vás k tomu</w:t>
      </w:r>
      <w:r>
        <w:t xml:space="preserve"> </w:t>
      </w:r>
      <w:hyperlink r:id="rId23">
        <w:r>
          <w:rPr>
            <w:rStyle w:val="Hyperlink"/>
          </w:rPr>
          <w:t xml:space="preserve">specializovaný návod</w:t>
        </w:r>
      </w:hyperlink>
      <w:r>
        <w:t xml:space="preserve">.</w:t>
      </w:r>
    </w:p>
    <w:p>
      <w:pPr>
        <w:pStyle w:val="BlockText"/>
      </w:pPr>
      <w:r>
        <w:t xml:space="preserve">A až zprávu budete mít, pečujte o ni a její využití:</w:t>
      </w:r>
      <w:r>
        <w:t xml:space="preserve"> </w:t>
      </w:r>
      <w:hyperlink r:id="rId24">
        <w:r>
          <w:rPr>
            <w:rStyle w:val="Hyperlink"/>
          </w:rPr>
          <w:t xml:space="preserve">návod k knowledge managementu</w:t>
        </w:r>
      </w:hyperlink>
      <w:r>
        <w:t xml:space="preserve">.</w:t>
      </w:r>
    </w:p>
    <w:bookmarkEnd w:id="25"/>
    <w:bookmarkStart w:id="26" w:name="sebediagnostika-je-to-pro-mě"/>
    <w:p>
      <w:pPr>
        <w:pStyle w:val="Heading1"/>
      </w:pPr>
      <w:r>
        <w:t xml:space="preserve">Sebediagnostika: je to pro mě?</w:t>
      </w:r>
    </w:p>
    <w:p>
      <w:pPr>
        <w:numPr>
          <w:ilvl w:val="0"/>
          <w:numId w:val="1001"/>
        </w:numPr>
        <w:pStyle w:val="Compact"/>
      </w:pPr>
      <w:r>
        <w:t xml:space="preserve">Vypracováváte Vy nebo Vaše oddělení velké množství psaných analytických výstupů?</w:t>
      </w:r>
    </w:p>
    <w:p>
      <w:pPr>
        <w:numPr>
          <w:ilvl w:val="0"/>
          <w:numId w:val="1001"/>
        </w:numPr>
        <w:pStyle w:val="Compact"/>
      </w:pPr>
      <w:r>
        <w:t xml:space="preserve">Narážíte na to, že adresáti vašich zpráv mají problém text učíst, nebo máte signály, že si z nich nedokáží vzít podstatné závěry?</w:t>
      </w:r>
    </w:p>
    <w:p>
      <w:pPr>
        <w:numPr>
          <w:ilvl w:val="0"/>
          <w:numId w:val="1001"/>
        </w:numPr>
        <w:pStyle w:val="Compact"/>
      </w:pPr>
      <w:r>
        <w:t xml:space="preserve">Začínáte se sepisováním výstupů? Bojujete s tím, jak strukturovat zprávy, ale i jejich části?</w:t>
      </w:r>
    </w:p>
    <w:p>
      <w:pPr>
        <w:numPr>
          <w:ilvl w:val="0"/>
          <w:numId w:val="1001"/>
        </w:numPr>
        <w:pStyle w:val="Compact"/>
      </w:pPr>
      <w:r>
        <w:t xml:space="preserve">Řešíte, jak nejlépe do svého textu včlenit fakta a čísla tak, aby je čtenáři vsřebali?</w:t>
      </w:r>
    </w:p>
    <w:bookmarkEnd w:id="26"/>
    <w:bookmarkStart w:id="38" w:name="jak-na-to"/>
    <w:p>
      <w:pPr>
        <w:pStyle w:val="Heading1"/>
      </w:pPr>
      <w:r>
        <w:t xml:space="preserve">Jak na to</w:t>
      </w:r>
    </w:p>
    <w:bookmarkStart w:id="33" w:name="hlavní-principy-psaní-výstupů"/>
    <w:p>
      <w:pPr>
        <w:pStyle w:val="Heading2"/>
      </w:pPr>
      <w:r>
        <w:t xml:space="preserve">Hlavní principy psaní výstupů</w:t>
      </w:r>
    </w:p>
    <w:p>
      <w:pPr>
        <w:pStyle w:val="FirstParagraph"/>
      </w:pPr>
      <w:r>
        <w:rPr>
          <w:bCs/>
          <w:b/>
        </w:rPr>
        <w:t xml:space="preserve">Cíle, struktura, uživatelé</w:t>
      </w:r>
    </w:p>
    <w:p>
      <w:pPr>
        <w:numPr>
          <w:ilvl w:val="0"/>
          <w:numId w:val="1002"/>
        </w:numPr>
      </w:pPr>
      <w:r>
        <w:t xml:space="preserve">Cílem psaní není utřídit si myšlenky, ale umožnit čtenáři, aby uviděl realitu tak, jak ji po zvážení informací a jejich utřídění vidí autor - a ukazuje se jako děj, pracuje se s metaforou vidění, se sekvencí (napřed vidím něco, pak se přesouvám někam dále, jde to po sobě a navazuje to, autor mi to ukazuje, představuje)</w:t>
      </w:r>
    </w:p>
    <w:p>
      <w:pPr>
        <w:numPr>
          <w:ilvl w:val="0"/>
          <w:numId w:val="1002"/>
        </w:numPr>
      </w:pPr>
      <w:r>
        <w:t xml:space="preserve">Myslete na to, že (minimálně některý) čtenář není odborníkem/icí na dané téma. Zvažte, pro které čtenáře jsou jednotlivé psané výstupy z vaší analytické práce.</w:t>
      </w:r>
    </w:p>
    <w:p>
      <w:pPr>
        <w:numPr>
          <w:ilvl w:val="0"/>
          <w:numId w:val="1002"/>
        </w:numPr>
      </w:pPr>
      <w:r>
        <w:t xml:space="preserve">Zvažte, zda chcete pracovat s triádou zjištění – závěr – doporučení: co jsme se dozvěděli, co z toho plyne, a co s tím dělat. Toto je schéma běžné ve světě evaluací a v některých situacích vám usnadní život, pokud se ho budete konzistentně držet.</w:t>
      </w:r>
    </w:p>
    <w:p>
      <w:pPr>
        <w:numPr>
          <w:ilvl w:val="0"/>
          <w:numId w:val="1002"/>
        </w:numPr>
      </w:pPr>
      <w:r>
        <w:t xml:space="preserve">Analytická zpráva není akademický článek. V mnohých případech – záleží na publiku a předpokládaném využití – není vhodná struktura *úvod – metody – poznatky – závěry – doporučení”</w:t>
      </w:r>
      <w:r>
        <w:t xml:space="preserve"> </w:t>
      </w:r>
      <w:r>
        <w:t xml:space="preserve">[viz @davidsonUnlearningOurSocial2007]</w:t>
      </w:r>
      <w:r>
        <w:t xml:space="preserve">.</w:t>
      </w:r>
    </w:p>
    <w:p>
      <w:pPr>
        <w:pStyle w:val="FirstParagraph"/>
      </w:pPr>
      <w:r>
        <w:rPr>
          <w:bCs/>
          <w:b/>
        </w:rPr>
        <w:t xml:space="preserve">Omezte nadbytečný text</w:t>
      </w:r>
    </w:p>
    <w:p>
      <w:pPr>
        <w:pStyle w:val="BodyText"/>
      </w:pPr>
      <w:r>
        <w:t xml:space="preserve">Výstupy by měly jasně a rozhodně sdělit, co práce s poznatky říká o analyzovaném problému.</w:t>
      </w:r>
    </w:p>
    <w:p>
      <w:pPr>
        <w:pStyle w:val="BodyText"/>
      </w:pPr>
      <w:r>
        <w:t xml:space="preserve">Zvláště manažerská shrnutí by měla být formulována co nejúsporněji.</w:t>
      </w:r>
    </w:p>
    <w:p>
      <w:pPr>
        <w:pStyle w:val="BodyText"/>
      </w:pPr>
      <w:r>
        <w:t xml:space="preserve">Je vhodné vyvarovat se dlouhých úvodních odstavců, které naznačují strukturu celého textu, odkazují na další jeho části atd. Naopak na začátku je dobré motivovat text otázkou.</w:t>
      </w:r>
    </w:p>
    <w:p>
      <w:pPr>
        <w:pStyle w:val="BodyText"/>
      </w:pPr>
      <w:r>
        <w:t xml:space="preserve">Délka zprávy by měla být čtenářsky vstřícná, přičemž ideální rozsah se liší dle typů výstupů. Především do manažerského shrnutí a zpráv pro uživatele by měly jít pouze nejrelevantnější informace. Zároveň je dobré se vyvarovat kopírování materiálu z případových studií a obecnějších věcí do hlavní zprávy.</w:t>
      </w:r>
    </w:p>
    <w:p>
      <w:pPr>
        <w:pStyle w:val="BodyText"/>
      </w:pPr>
      <w:r>
        <w:rPr>
          <w:bCs/>
          <w:b/>
        </w:rPr>
        <w:t xml:space="preserve">Pište jasně</w:t>
      </w:r>
    </w:p>
    <w:p>
      <w:pPr>
        <w:numPr>
          <w:ilvl w:val="0"/>
          <w:numId w:val="1003"/>
        </w:numPr>
        <w:pStyle w:val="Compact"/>
      </w:pPr>
      <w:r>
        <w:t xml:space="preserve">Nepoužívejte příliš dlouhá a složitá slova</w:t>
      </w:r>
    </w:p>
    <w:p>
      <w:pPr>
        <w:numPr>
          <w:ilvl w:val="0"/>
          <w:numId w:val="1003"/>
        </w:numPr>
        <w:pStyle w:val="Compact"/>
      </w:pPr>
      <w:r>
        <w:t xml:space="preserve">Vyvarujte se žargonu</w:t>
      </w:r>
    </w:p>
    <w:p>
      <w:pPr>
        <w:numPr>
          <w:ilvl w:val="0"/>
          <w:numId w:val="1003"/>
        </w:numPr>
        <w:pStyle w:val="Compact"/>
      </w:pPr>
      <w:r>
        <w:t xml:space="preserve">Vysvětlujte zkratky</w:t>
      </w:r>
    </w:p>
    <w:p>
      <w:pPr>
        <w:numPr>
          <w:ilvl w:val="0"/>
          <w:numId w:val="1003"/>
        </w:numPr>
        <w:pStyle w:val="Compact"/>
      </w:pPr>
      <w:r>
        <w:t xml:space="preserve">Věty i odstavce by měly být krátké, věty cca 15-20 slov.</w:t>
      </w:r>
    </w:p>
    <w:p>
      <w:pPr>
        <w:numPr>
          <w:ilvl w:val="0"/>
          <w:numId w:val="1003"/>
        </w:numPr>
        <w:pStyle w:val="Compact"/>
      </w:pPr>
      <w:r>
        <w:t xml:space="preserve">Čím složitější problém, tím jednodušší věty</w:t>
      </w:r>
    </w:p>
    <w:p>
      <w:pPr>
        <w:numPr>
          <w:ilvl w:val="0"/>
          <w:numId w:val="1003"/>
        </w:numPr>
        <w:pStyle w:val="Compact"/>
      </w:pPr>
      <w:r>
        <w:t xml:space="preserve">Vyvarujte se trpného rodu (pasivu), používejte činný</w:t>
      </w:r>
    </w:p>
    <w:p>
      <w:pPr>
        <w:numPr>
          <w:ilvl w:val="0"/>
          <w:numId w:val="1003"/>
        </w:numPr>
        <w:pStyle w:val="Compact"/>
      </w:pPr>
      <w:r>
        <w:t xml:space="preserve">Pište konkrétně, vyvarujte se vágních slov a formulací, které mohou být dezinterpretovány</w:t>
      </w:r>
    </w:p>
    <w:p>
      <w:pPr>
        <w:numPr>
          <w:ilvl w:val="0"/>
          <w:numId w:val="1003"/>
        </w:numPr>
        <w:pStyle w:val="Compact"/>
      </w:pPr>
      <w:r>
        <w:t xml:space="preserve">Používejte nadpisy a podnadpisy pro snadnější orientaci</w:t>
      </w:r>
    </w:p>
    <w:p>
      <w:pPr>
        <w:numPr>
          <w:ilvl w:val="0"/>
          <w:numId w:val="1003"/>
        </w:numPr>
        <w:pStyle w:val="Compact"/>
      </w:pPr>
      <w:r>
        <w:t xml:space="preserve">Používejte vyvážený, hodnotově nezabarvený jazyk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Konečně česká příručka srozumitelného psaní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V roce 2023 vyšla knížka</w:t>
            </w:r>
            <w:r>
              <w:t xml:space="preserve"> </w:t>
            </w:r>
            <w:r>
              <w:rPr>
                <w:iCs/>
                <w:i/>
              </w:rPr>
              <w:t xml:space="preserve">Pište čtivě a srozumitelně</w:t>
            </w:r>
            <w:r>
              <w:t xml:space="preserve"> </w:t>
            </w:r>
            <w:r>
              <w:t xml:space="preserve">od bratrů Behúnových</w:t>
            </w:r>
            <w:r>
              <w:t xml:space="preserve"> </w:t>
            </w:r>
            <w:r>
              <w:t xml:space="preserve">[@behunPisteCtiveSrozumitelne2023]</w:t>
            </w:r>
            <w:r>
              <w:t xml:space="preserve">. Uvnitř najdete spoustu užitečných tad, pro nás jsou nejnosnější tyto:</w:t>
            </w:r>
          </w:p>
          <w:p>
            <w:pPr>
              <w:numPr>
                <w:ilvl w:val="0"/>
                <w:numId w:val="1004"/>
              </w:numPr>
              <w:pStyle w:val="Compact"/>
            </w:pPr>
            <w:r>
              <w:t xml:space="preserve">méně podstatných jmen, více sloves a vztažných zájmen</w:t>
            </w:r>
          </w:p>
          <w:p>
            <w:pPr>
              <w:numPr>
                <w:ilvl w:val="0"/>
                <w:numId w:val="1004"/>
              </w:numPr>
              <w:pStyle w:val="Compact"/>
            </w:pPr>
            <w:r>
              <w:t xml:space="preserve">méně trpného rodu</w:t>
            </w:r>
          </w:p>
          <w:p>
            <w:pPr>
              <w:numPr>
                <w:ilvl w:val="0"/>
                <w:numId w:val="1004"/>
              </w:numPr>
              <w:pStyle w:val="Compact"/>
            </w:pPr>
            <w:r>
              <w:t xml:space="preserve">méně žargonu</w:t>
            </w:r>
          </w:p>
          <w:p>
            <w:pPr>
              <w:numPr>
                <w:ilvl w:val="0"/>
                <w:numId w:val="1004"/>
              </w:numPr>
              <w:pStyle w:val="Compact"/>
            </w:pPr>
            <w:r>
              <w:t xml:space="preserve">méně anglicismů slovních i větných: kniha ukazuje, jak nešikovně přebraná slova a fráze poznat</w:t>
            </w:r>
          </w:p>
          <w:p>
            <w:pPr>
              <w:numPr>
                <w:ilvl w:val="0"/>
                <w:numId w:val="1004"/>
              </w:numPr>
              <w:pStyle w:val="Compact"/>
            </w:pPr>
            <w:r>
              <w:t xml:space="preserve">promyšlená struktura a forma textu: více odstavců a mezinadpisů, odrážky a zvýraznění</w:t>
            </w:r>
          </w:p>
        </w:tc>
      </w:tr>
    </w:tbl>
    <w:p>
      <w:pPr>
        <w:pStyle w:val="FirstParagraph"/>
      </w:pPr>
      <w:r>
        <w:rPr>
          <w:bCs/>
          <w:b/>
        </w:rPr>
        <w:t xml:space="preserve">Jak psát o číslech</w:t>
      </w:r>
    </w:p>
    <w:p>
      <w:pPr>
        <w:pStyle w:val="BodyText"/>
      </w:pPr>
      <w:r>
        <w:t xml:space="preserve">Nezahlcujte čtenáře sadou čísel, především velkými čísly, které jsou špatně zpracovatelná.</w:t>
      </w:r>
    </w:p>
    <w:p>
      <w:pPr>
        <w:numPr>
          <w:ilvl w:val="0"/>
          <w:numId w:val="1005"/>
        </w:numPr>
        <w:pStyle w:val="Compact"/>
      </w:pPr>
      <w:r>
        <w:t xml:space="preserve">Vztáhněte čísla k</w:t>
      </w:r>
      <w:r>
        <w:t xml:space="preserve"> </w:t>
      </w:r>
      <w:r>
        <w:t xml:space="preserve">“</w:t>
      </w:r>
      <w:r>
        <w:t xml:space="preserve">žité realitě</w:t>
      </w:r>
      <w:r>
        <w:t xml:space="preserve">”</w:t>
      </w:r>
      <w:r>
        <w:t xml:space="preserve">, například plochu převeďte na čtenáři známou geografickou jednotku (</w:t>
      </w:r>
      <w:r>
        <w:t xml:space="preserve">“</w:t>
      </w:r>
      <w:r>
        <w:t xml:space="preserve">plocha o velikosti Ústeckého kraje</w:t>
      </w:r>
      <w:r>
        <w:t xml:space="preserve">”</w:t>
      </w:r>
    </w:p>
    <w:p>
      <w:pPr>
        <w:numPr>
          <w:ilvl w:val="0"/>
          <w:numId w:val="1005"/>
        </w:numPr>
        <w:pStyle w:val="Compact"/>
      </w:pPr>
      <w:r>
        <w:t xml:space="preserve">Dobře fungují tzv.</w:t>
      </w:r>
      <w:r>
        <w:t xml:space="preserve"> </w:t>
      </w:r>
      <w:r>
        <w:t xml:space="preserve">“</w:t>
      </w:r>
      <w:r>
        <w:t xml:space="preserve">perspective clauses</w:t>
      </w:r>
      <w:r>
        <w:t xml:space="preserve">”</w:t>
      </w:r>
      <w:r>
        <w:t xml:space="preserve"> </w:t>
      </w:r>
      <w:r>
        <w:t xml:space="preserve">-</w:t>
      </w:r>
      <w:r>
        <w:t xml:space="preserve"> </w:t>
      </w:r>
      <w:r>
        <w:t xml:space="preserve">“</w:t>
      </w:r>
      <w:r>
        <w:t xml:space="preserve">28,5 mld. hektarů – pro srovnání, to je dvojnásobek plochy kraje X</w:t>
      </w:r>
      <w:r>
        <w:t xml:space="preserve">”</w:t>
      </w:r>
      <w:r>
        <w:t xml:space="preserve">, popř.</w:t>
      </w:r>
      <w:r>
        <w:t xml:space="preserve"> </w:t>
      </w:r>
      <w:r>
        <w:t xml:space="preserve">“</w:t>
      </w:r>
      <w:r>
        <w:t xml:space="preserve">to si lze představit jako…</w:t>
      </w:r>
      <w:r>
        <w:t xml:space="preserve">”</w:t>
      </w:r>
      <w:r>
        <w:t xml:space="preserve"> </w:t>
      </w:r>
      <w:r>
        <w:t xml:space="preserve">nebo</w:t>
      </w:r>
      <w:r>
        <w:t xml:space="preserve"> </w:t>
      </w:r>
      <w:r>
        <w:t xml:space="preserve">“</w:t>
      </w:r>
      <w:r>
        <w:t xml:space="preserve">v kontextu to znamená…</w:t>
      </w:r>
      <w:r>
        <w:t xml:space="preserve">”</w:t>
      </w:r>
      <w:r>
        <w:t xml:space="preserve">).</w:t>
      </w:r>
    </w:p>
    <w:p>
      <w:pPr>
        <w:pStyle w:val="FirstParagraph"/>
      </w:pPr>
      <w:r>
        <w:rPr>
          <w:iCs/>
          <w:i/>
        </w:rPr>
        <w:t xml:space="preserve">Čtenáři by to mělo pomoct zodpovědět otázku</w:t>
      </w:r>
      <w:r>
        <w:rPr>
          <w:iCs/>
          <w:i/>
        </w:rPr>
        <w:t xml:space="preserve"> </w:t>
      </w:r>
      <w:r>
        <w:rPr>
          <w:iCs/>
          <w:i/>
        </w:rPr>
        <w:t xml:space="preserve">“</w:t>
      </w:r>
      <w:r>
        <w:rPr>
          <w:iCs/>
          <w:i/>
        </w:rPr>
        <w:t xml:space="preserve">je to velké číslo? Je to hodně, nebo málo?</w:t>
      </w:r>
      <w:r>
        <w:rPr>
          <w:iCs/>
          <w:i/>
        </w:rPr>
        <w:t xml:space="preserve">”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1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note.png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Lidský mozek a velká čísla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Počítejte s tím, že lidský mozek není stavěný na práci s velmi velkými čísly.</w:t>
            </w:r>
          </w:p>
          <w:p>
            <w:pPr>
              <w:pStyle w:val="BodyText"/>
            </w:pPr>
            <w:r>
              <w:t xml:space="preserve">Jakmile se čísla dostanou do řádů, které se špatně konkrétně představují, v lidském vnímání těchto čísel začínají dominovat kognitivní zkratky, které zhoršují srovnávání a uvažování o číslech.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Např. tzv.</w:t>
            </w:r>
            <w:r>
              <w:t xml:space="preserve"> </w:t>
            </w:r>
            <w:r>
              <w:t xml:space="preserve">“</w:t>
            </w:r>
            <w:r>
              <w:t xml:space="preserve">mental number line</w:t>
            </w:r>
            <w:r>
              <w:t xml:space="preserve">”</w:t>
            </w:r>
            <w:r>
              <w:t xml:space="preserve">, kde na pomyslné ose mezi tisícem a miliardou lidé mají tendenci milion umístit doprostřed</w:t>
            </w:r>
            <w:r>
              <w:t xml:space="preserve"> </w:t>
            </w:r>
            <w:r>
              <w:t xml:space="preserve">[@izardCalibratingMentalNumber2008; @feigensonCoreSystemsNumber2004]</w:t>
            </w:r>
            <w:r>
              <w:t xml:space="preserve">.</w:t>
            </w:r>
          </w:p>
        </w:tc>
      </w:tr>
    </w:tbl>
    <w:p>
      <w:pPr>
        <w:numPr>
          <w:ilvl w:val="0"/>
          <w:numId w:val="1006"/>
        </w:numPr>
      </w:pPr>
      <w:r>
        <w:t xml:space="preserve">Nenuťte čtenáře počítat v hlavě, udělejte to za něj (např.</w:t>
      </w:r>
      <w:r>
        <w:t xml:space="preserve"> </w:t>
      </w:r>
      <w:r>
        <w:t xml:space="preserve">“</w:t>
      </w:r>
      <w:r>
        <w:t xml:space="preserve">X se téměř zdvojnásobilo, z 27 v roce 2021 na 53 v roce 2023</w:t>
      </w:r>
      <w:r>
        <w:t xml:space="preserve">”</w:t>
      </w:r>
      <w:r>
        <w:t xml:space="preserve">).</w:t>
      </w:r>
    </w:p>
    <w:p>
      <w:pPr>
        <w:numPr>
          <w:ilvl w:val="0"/>
          <w:numId w:val="1006"/>
        </w:numPr>
      </w:pPr>
      <w:r>
        <w:t xml:space="preserve">Při srovnávání čísel používejte stejný základ - např. počty lékařů na tisíc lidí ve dvou krajích, ne</w:t>
      </w:r>
      <w:r>
        <w:t xml:space="preserve"> </w:t>
      </w:r>
      <w:r>
        <w:t xml:space="preserve">“</w:t>
      </w:r>
      <w:r>
        <w:t xml:space="preserve">v kraji X je N lékařů na A obyvatel, v kraji Y NN lékařů na AA obyvatel</w:t>
      </w:r>
      <w:r>
        <w:t xml:space="preserve">”</w:t>
      </w:r>
    </w:p>
    <w:p>
      <w:pPr>
        <w:numPr>
          <w:ilvl w:val="0"/>
          <w:numId w:val="1006"/>
        </w:numPr>
      </w:pPr>
      <w:r>
        <w:t xml:space="preserve">Vyhněte se nepatřičné přesnosti jednotlivých čísel: zaokrouhlujte, popř. uvádějte v tisících, milionech, podle toho, jak moc se daná veličina mění a jaké změny jsou podstatné</w:t>
      </w:r>
    </w:p>
    <w:p>
      <w:pPr>
        <w:numPr>
          <w:ilvl w:val="0"/>
          <w:numId w:val="1006"/>
        </w:numPr>
      </w:pPr>
      <w:r>
        <w:t xml:space="preserve">Podobně někteří čtenáři nejsou zvyklí pracovat s procenty a procentními body. Zde je třeba být precizní, popř. vysvětlit více způsoby, např.</w:t>
      </w:r>
      <w:r>
        <w:t xml:space="preserve"> </w:t>
      </w:r>
      <w:r>
        <w:t xml:space="preserve">“</w:t>
      </w:r>
      <w:r>
        <w:t xml:space="preserve">výskyt X vzrostl z 2 % na 3 %, to znamená, že riziko X v populaci vzrostlo o polovinu</w:t>
      </w:r>
      <w:r>
        <w:t xml:space="preserve">”</w:t>
      </w:r>
      <w:r>
        <w:t xml:space="preserve">. Je lepší napsat</w:t>
      </w:r>
      <w:r>
        <w:t xml:space="preserve"> </w:t>
      </w:r>
      <w:r>
        <w:t xml:space="preserve">“</w:t>
      </w:r>
      <w:r>
        <w:t xml:space="preserve">1 z 20</w:t>
      </w:r>
      <w:r>
        <w:t xml:space="preserve">”</w:t>
      </w:r>
      <w:r>
        <w:t xml:space="preserve"> </w:t>
      </w:r>
      <w:r>
        <w:t xml:space="preserve">než</w:t>
      </w:r>
      <w:r>
        <w:t xml:space="preserve"> </w:t>
      </w:r>
      <w:r>
        <w:t xml:space="preserve">“</w:t>
      </w:r>
      <w:r>
        <w:t xml:space="preserve">5 %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Více viz</w:t>
      </w:r>
      <w:r>
        <w:t xml:space="preserve"> </w:t>
      </w:r>
      <w:r>
        <w:t xml:space="preserve">@millerChicagoGuideWriting2015</w:t>
      </w:r>
      <w:r>
        <w:t xml:space="preserve">.</w:t>
      </w:r>
    </w:p>
    <w:bookmarkEnd w:id="33"/>
    <w:bookmarkStart w:id="34" w:name="jak-strukturovat-různé-části-zpráv"/>
    <w:p>
      <w:pPr>
        <w:pStyle w:val="Heading2"/>
      </w:pPr>
      <w:r>
        <w:t xml:space="preserve">Jak strukturovat různé části zpráv</w:t>
      </w:r>
    </w:p>
    <w:p>
      <w:pPr>
        <w:pStyle w:val="FirstParagraph"/>
      </w:pPr>
      <w:r>
        <w:rPr>
          <w:bCs/>
          <w:b/>
        </w:rPr>
        <w:t xml:space="preserve">Úvod</w:t>
      </w:r>
    </w:p>
    <w:p>
      <w:pPr>
        <w:numPr>
          <w:ilvl w:val="0"/>
          <w:numId w:val="1007"/>
        </w:numPr>
        <w:pStyle w:val="Compact"/>
      </w:pPr>
      <w:r>
        <w:t xml:space="preserve">Problém (Co je to za problém? Proč je důležitý?)</w:t>
      </w:r>
    </w:p>
    <w:p>
      <w:pPr>
        <w:numPr>
          <w:ilvl w:val="0"/>
          <w:numId w:val="1007"/>
        </w:numPr>
        <w:pStyle w:val="Compact"/>
      </w:pPr>
      <w:r>
        <w:t xml:space="preserve">Pozadí, kontext (Co se děje, kde, koho se to týká?)</w:t>
      </w:r>
    </w:p>
    <w:p>
      <w:pPr>
        <w:numPr>
          <w:ilvl w:val="0"/>
          <w:numId w:val="1007"/>
        </w:numPr>
        <w:pStyle w:val="Compact"/>
      </w:pPr>
      <w:r>
        <w:t xml:space="preserve">Příčiny současné situace (Proč? Uveďte důkazy nebo příklady.)</w:t>
      </w:r>
    </w:p>
    <w:p>
      <w:pPr>
        <w:numPr>
          <w:ilvl w:val="0"/>
          <w:numId w:val="1007"/>
        </w:numPr>
        <w:pStyle w:val="Compact"/>
      </w:pPr>
      <w:r>
        <w:t xml:space="preserve">Důsledky současné situace (Jaké má důsledky? Uveďte důkazy nebo příklady.)</w:t>
      </w:r>
    </w:p>
    <w:p>
      <w:pPr>
        <w:pStyle w:val="FirstParagraph"/>
      </w:pPr>
      <w:r>
        <w:t xml:space="preserve">Úvod by měl plnit několik základních úkolů:</w:t>
      </w:r>
    </w:p>
    <w:p>
      <w:pPr>
        <w:numPr>
          <w:ilvl w:val="0"/>
          <w:numId w:val="1008"/>
        </w:numPr>
        <w:pStyle w:val="Compact"/>
      </w:pPr>
      <w:r>
        <w:t xml:space="preserve">Upoutat pozornost čtenáře</w:t>
      </w:r>
    </w:p>
    <w:p>
      <w:pPr>
        <w:numPr>
          <w:ilvl w:val="0"/>
          <w:numId w:val="1008"/>
        </w:numPr>
        <w:pStyle w:val="Compact"/>
      </w:pPr>
      <w:r>
        <w:t xml:space="preserve">Představit téma</w:t>
      </w:r>
    </w:p>
    <w:p>
      <w:pPr>
        <w:numPr>
          <w:ilvl w:val="0"/>
          <w:numId w:val="1008"/>
        </w:numPr>
        <w:pStyle w:val="Compact"/>
      </w:pPr>
      <w:r>
        <w:t xml:space="preserve">Vysvětlit, proč je téma důležité</w:t>
      </w:r>
    </w:p>
    <w:p>
      <w:pPr>
        <w:numPr>
          <w:ilvl w:val="0"/>
          <w:numId w:val="1008"/>
        </w:numPr>
        <w:pStyle w:val="Compact"/>
      </w:pPr>
      <w:r>
        <w:t xml:space="preserve">Objasnit čtenáři, co má od textu čekat</w:t>
      </w:r>
    </w:p>
    <w:p>
      <w:pPr>
        <w:pStyle w:val="FirstParagraph"/>
      </w:pPr>
      <w:r>
        <w:t xml:space="preserve">Součástí úvodu také mohou být následující prvky:</w:t>
      </w:r>
    </w:p>
    <w:p>
      <w:pPr>
        <w:numPr>
          <w:ilvl w:val="0"/>
          <w:numId w:val="1009"/>
        </w:numPr>
        <w:pStyle w:val="Compact"/>
      </w:pPr>
      <w:r>
        <w:t xml:space="preserve">Osvětlení struktury celé zprávy</w:t>
      </w:r>
    </w:p>
    <w:p>
      <w:pPr>
        <w:numPr>
          <w:ilvl w:val="0"/>
          <w:numId w:val="1009"/>
        </w:numPr>
        <w:pStyle w:val="Compact"/>
      </w:pPr>
      <w:r>
        <w:t xml:space="preserve">Cíle projektu</w:t>
      </w:r>
    </w:p>
    <w:p>
      <w:pPr>
        <w:pStyle w:val="BlockText"/>
      </w:pPr>
      <w:r>
        <w:rPr>
          <w:bCs/>
          <w:b/>
        </w:rPr>
        <w:t xml:space="preserve">Tip</w:t>
      </w:r>
    </w:p>
    <w:p>
      <w:pPr>
        <w:pStyle w:val="BlockText"/>
      </w:pPr>
      <w:r>
        <w:t xml:space="preserve">Pro úvod i některé další celky uvnitř zprávy se může hodit následovat tzv. strukturu SPQA: Situation, Complication, Question, Answer.</w:t>
      </w:r>
    </w:p>
    <w:p>
      <w:pPr>
        <w:pStyle w:val="BlockText"/>
      </w:pPr>
      <w:r>
        <w:rPr>
          <w:iCs/>
          <w:i/>
        </w:rPr>
        <w:t xml:space="preserve">Situation</w:t>
      </w:r>
      <w:r>
        <w:t xml:space="preserve">: o co tady je jde?</w:t>
      </w:r>
      <w:r>
        <w:br/>
      </w:r>
      <w:r>
        <w:t xml:space="preserve">–&gt; např.</w:t>
      </w:r>
      <w:r>
        <w:t xml:space="preserve"> </w:t>
      </w:r>
      <w:r>
        <w:t xml:space="preserve">“</w:t>
      </w:r>
      <w:r>
        <w:t xml:space="preserve">Ve státní správě pracují analytici.</w:t>
      </w:r>
      <w:r>
        <w:t xml:space="preserve">”</w:t>
      </w:r>
    </w:p>
    <w:p>
      <w:pPr>
        <w:pStyle w:val="BlockText"/>
      </w:pPr>
      <w:r>
        <w:rPr>
          <w:iCs/>
          <w:i/>
        </w:rPr>
        <w:t xml:space="preserve">Complication</w:t>
      </w:r>
      <w:r>
        <w:t xml:space="preserve">: co na tom řešíme? Proč to řešíme?</w:t>
      </w:r>
      <w:r>
        <w:br/>
      </w:r>
      <w:r>
        <w:t xml:space="preserve">–&gt; např.</w:t>
      </w:r>
      <w:r>
        <w:t xml:space="preserve"> </w:t>
      </w:r>
      <w:r>
        <w:t xml:space="preserve">“</w:t>
      </w:r>
      <w:r>
        <w:t xml:space="preserve">Mnoho z nich se chce zlepšovat, ale neví, kde začít.</w:t>
      </w:r>
      <w:r>
        <w:t xml:space="preserve">”</w:t>
      </w:r>
    </w:p>
    <w:p>
      <w:pPr>
        <w:pStyle w:val="BlockText"/>
      </w:pPr>
      <w:r>
        <w:rPr>
          <w:iCs/>
          <w:i/>
        </w:rPr>
        <w:t xml:space="preserve">Question</w:t>
      </w:r>
      <w:r>
        <w:t xml:space="preserve">: Co konkrétně je problém?</w:t>
      </w:r>
      <w:r>
        <w:br/>
      </w:r>
      <w:r>
        <w:t xml:space="preserve">–&gt; např.</w:t>
      </w:r>
      <w:r>
        <w:t xml:space="preserve"> </w:t>
      </w:r>
      <w:r>
        <w:t xml:space="preserve">“</w:t>
      </w:r>
      <w:r>
        <w:t xml:space="preserve">Jak bychom jim mohli pomoct jako výzkumníci zvenčí?</w:t>
      </w:r>
      <w:r>
        <w:t xml:space="preserve">”</w:t>
      </w:r>
    </w:p>
    <w:p>
      <w:pPr>
        <w:pStyle w:val="BlockText"/>
      </w:pPr>
      <w:r>
        <w:rPr>
          <w:iCs/>
          <w:i/>
        </w:rPr>
        <w:t xml:space="preserve">Answer</w:t>
      </w:r>
      <w:r>
        <w:t xml:space="preserve">: Jaké máme řešení? Jak zodpovídáme otázku?</w:t>
      </w:r>
      <w:r>
        <w:br/>
      </w:r>
      <w:r>
        <w:t xml:space="preserve">–&gt; např.</w:t>
      </w:r>
      <w:r>
        <w:t xml:space="preserve"> </w:t>
      </w:r>
      <w:r>
        <w:t xml:space="preserve">“</w:t>
      </w:r>
      <w:r>
        <w:t xml:space="preserve">Přinášíme průvodce prací s poznatky, který jsme vyvinuli spolu s několika analytickými týmy.</w:t>
      </w:r>
      <w:r>
        <w:t xml:space="preserve">”</w:t>
      </w:r>
    </w:p>
    <w:p>
      <w:pPr>
        <w:pStyle w:val="BlockText"/>
      </w:pPr>
      <w:r>
        <w:t xml:space="preserve">Pořadí jednotlivých prvků můžete měnit a každý prvek rozkošatět, přitom ale držte strukturu.</w:t>
      </w:r>
    </w:p>
    <w:p>
      <w:pPr>
        <w:pStyle w:val="BlockText"/>
      </w:pPr>
      <w:r>
        <w:t xml:space="preserve">Podobná struktura, které se dá držet, je tzv.</w:t>
      </w:r>
      <w:r>
        <w:t xml:space="preserve"> </w:t>
      </w:r>
      <w:r>
        <w:t xml:space="preserve">“</w:t>
      </w:r>
      <w:r>
        <w:t xml:space="preserve">What – So what – What now</w:t>
      </w:r>
      <w:r>
        <w:t xml:space="preserve">”</w:t>
      </w:r>
      <w:r>
        <w:t xml:space="preserve">, která v podstatě odpovídá logice</w:t>
      </w:r>
      <w:r>
        <w:t xml:space="preserve"> </w:t>
      </w:r>
      <w:r>
        <w:t xml:space="preserve">“</w:t>
      </w:r>
      <w:r>
        <w:t xml:space="preserve">zjištění – závěr – doporučení</w:t>
      </w:r>
      <w:r>
        <w:t xml:space="preserve">”</w:t>
      </w:r>
      <w:r>
        <w:t xml:space="preserve">.</w:t>
      </w:r>
    </w:p>
    <w:p>
      <w:pPr>
        <w:pStyle w:val="FirstParagraph"/>
      </w:pPr>
      <w:r>
        <w:rPr>
          <w:bCs/>
          <w:b/>
        </w:rPr>
        <w:t xml:space="preserve">Struktura ostatních části zprávy</w:t>
      </w:r>
    </w:p>
    <w:p>
      <w:pPr>
        <w:pStyle w:val="BodyText"/>
      </w:pPr>
      <w:r>
        <w:rPr>
          <w:iCs/>
          <w:i/>
        </w:rPr>
        <w:t xml:space="preserve">Background / kontext</w:t>
      </w:r>
      <w:r>
        <w:t xml:space="preserve">: u některých zpráv je vhodné zachytit kontext toho, o čem píšete – proč např. analyticky zachycujete daný problém, co se v dané oblasti děje, co už se o věci ví. Neměla by to ale být suše popisná část zachycující vše vzdáleně související ani přehled literatury pro dobrý pocit.</w:t>
      </w:r>
    </w:p>
    <w:p>
      <w:pPr>
        <w:pStyle w:val="BodyText"/>
      </w:pPr>
      <w:r>
        <w:rPr>
          <w:iCs/>
          <w:i/>
        </w:rPr>
        <w:t xml:space="preserve">Přístupný a jasný průvodce metodikou výzkumu</w:t>
      </w:r>
      <w:r>
        <w:t xml:space="preserve">, včetně údajů o tom, jak zvolený design a metody ovlivňují závěry. Součástí by mělo být i vysvětlení zdrojových dat a jak s nimi autoři pracovali. Často je vhodné část zprávy nazvat</w:t>
      </w:r>
      <w:r>
        <w:t xml:space="preserve"> </w:t>
      </w:r>
      <w:r>
        <w:t xml:space="preserve">“</w:t>
      </w:r>
      <w:r>
        <w:t xml:space="preserve">Metody a zdroje dat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U kratších zpráv či zpráv jednodušších výzkumů může být vhodné tuto část zařadit na konec a metody a zdroje dat shrnout pouze v jedné či svou větách v úvodu s odkazem na příslušnou metodologickou sekci.</w:t>
      </w:r>
    </w:p>
    <w:p>
      <w:pPr>
        <w:pStyle w:val="BodyText"/>
      </w:pPr>
      <w:r>
        <w:t xml:space="preserve">U složitějších analýz je vhodné odděleně zachytit:</w:t>
      </w:r>
    </w:p>
    <w:p>
      <w:pPr>
        <w:numPr>
          <w:ilvl w:val="0"/>
          <w:numId w:val="1010"/>
        </w:numPr>
        <w:pStyle w:val="Compact"/>
      </w:pPr>
      <w:r>
        <w:t xml:space="preserve">celkový design výzkumu</w:t>
      </w:r>
    </w:p>
    <w:p>
      <w:pPr>
        <w:numPr>
          <w:ilvl w:val="0"/>
          <w:numId w:val="1010"/>
        </w:numPr>
        <w:pStyle w:val="Compact"/>
      </w:pPr>
      <w:r>
        <w:t xml:space="preserve">zdroje dat</w:t>
      </w:r>
    </w:p>
    <w:p>
      <w:pPr>
        <w:numPr>
          <w:ilvl w:val="0"/>
          <w:numId w:val="1010"/>
        </w:numPr>
        <w:pStyle w:val="Compact"/>
      </w:pPr>
      <w:r>
        <w:t xml:space="preserve">jednotlivé využité metody – u každé ale zachyťte jak metodu sběru dat, tak metodu analýzy</w:t>
      </w:r>
    </w:p>
    <w:p>
      <w:pPr>
        <w:pStyle w:val="FirstParagraph"/>
      </w:pPr>
      <w:r>
        <w:rPr>
          <w:iCs/>
          <w:i/>
        </w:rPr>
        <w:t xml:space="preserve">Zjištění</w:t>
      </w:r>
      <w:r>
        <w:t xml:space="preserve"> </w:t>
      </w:r>
      <w:r>
        <w:t xml:space="preserve">strukturujte podle témat či položených otázek, nikoliv na základě toho, jak byla</w:t>
      </w:r>
      <w:r>
        <w:t xml:space="preserve"> </w:t>
      </w:r>
      <w:r>
        <w:t xml:space="preserve">“</w:t>
      </w:r>
      <w:r>
        <w:t xml:space="preserve">objevena</w:t>
      </w:r>
      <w:r>
        <w:t xml:space="preserve">”</w:t>
      </w:r>
      <w:r>
        <w:t xml:space="preserve"> </w:t>
      </w:r>
      <w:r>
        <w:t xml:space="preserve">během výzkumného procesu či z jakého zdroje či metody vzešla.</w:t>
      </w:r>
    </w:p>
    <w:p>
      <w:pPr>
        <w:pStyle w:val="BodyText"/>
      </w:pPr>
      <w:r>
        <w:rPr>
          <w:bCs/>
          <w:b/>
        </w:rPr>
        <w:t xml:space="preserve">Závěry a doporučení</w:t>
      </w:r>
    </w:p>
    <w:p>
      <w:pPr>
        <w:numPr>
          <w:ilvl w:val="0"/>
          <w:numId w:val="1011"/>
        </w:numPr>
        <w:pStyle w:val="Compact"/>
      </w:pPr>
      <w:r>
        <w:t xml:space="preserve">Měly by odpovědět na otázku</w:t>
      </w:r>
      <w:r>
        <w:t xml:space="preserve"> </w:t>
      </w:r>
      <w:r>
        <w:t xml:space="preserve">“</w:t>
      </w:r>
      <w:r>
        <w:t xml:space="preserve">so what?</w:t>
      </w:r>
      <w:r>
        <w:t xml:space="preserve">”</w:t>
      </w:r>
      <w:r>
        <w:t xml:space="preserve"> </w:t>
      </w:r>
      <w:r>
        <w:t xml:space="preserve">– dát smysl a vyústění předchozím částem zprávy, ukázat, proč nás daná věc má trápit a co s ní.</w:t>
      </w:r>
    </w:p>
    <w:p>
      <w:pPr>
        <w:numPr>
          <w:ilvl w:val="0"/>
          <w:numId w:val="1011"/>
        </w:numPr>
        <w:pStyle w:val="Compact"/>
      </w:pPr>
      <w:r>
        <w:t xml:space="preserve">Může být vhodné odkázat na vývoj politiky v dané oblasti</w:t>
      </w:r>
    </w:p>
    <w:p>
      <w:pPr>
        <w:numPr>
          <w:ilvl w:val="0"/>
          <w:numId w:val="1011"/>
        </w:numPr>
        <w:pStyle w:val="Compact"/>
      </w:pPr>
      <w:r>
        <w:t xml:space="preserve">Měly by jasně vycházet z interpretace existujících dat</w:t>
      </w:r>
    </w:p>
    <w:p>
      <w:pPr>
        <w:numPr>
          <w:ilvl w:val="0"/>
          <w:numId w:val="1011"/>
        </w:numPr>
        <w:pStyle w:val="Compact"/>
      </w:pPr>
      <w:r>
        <w:t xml:space="preserve">Podrobné technické a metodologické informace by měly být uvedeny v přílohách</w:t>
      </w:r>
    </w:p>
    <w:p>
      <w:pPr>
        <w:pStyle w:val="FirstParagraph"/>
      </w:pPr>
      <w:r>
        <w:t xml:space="preserve">Doporučení</w:t>
      </w:r>
    </w:p>
    <w:p>
      <w:pPr>
        <w:numPr>
          <w:ilvl w:val="0"/>
          <w:numId w:val="1012"/>
        </w:numPr>
        <w:pStyle w:val="Compact"/>
      </w:pPr>
      <w:r>
        <w:t xml:space="preserve">seskupte podle témat</w:t>
      </w:r>
    </w:p>
    <w:p>
      <w:pPr>
        <w:numPr>
          <w:ilvl w:val="0"/>
          <w:numId w:val="1012"/>
        </w:numPr>
        <w:pStyle w:val="Compact"/>
      </w:pPr>
      <w:r>
        <w:t xml:space="preserve">pokud možno by měla být propojeny s konkrétními zjištěními</w:t>
      </w:r>
    </w:p>
    <w:p>
      <w:pPr>
        <w:numPr>
          <w:ilvl w:val="0"/>
          <w:numId w:val="1012"/>
        </w:numPr>
        <w:pStyle w:val="Compact"/>
      </w:pPr>
      <w:r>
        <w:t xml:space="preserve">omezte počtem</w:t>
      </w:r>
    </w:p>
    <w:p>
      <w:pPr>
        <w:numPr>
          <w:ilvl w:val="0"/>
          <w:numId w:val="1012"/>
        </w:numPr>
        <w:pStyle w:val="Compact"/>
      </w:pPr>
      <w:r>
        <w:t xml:space="preserve">formulujte nejlépe jako</w:t>
      </w:r>
      <w:r>
        <w:t xml:space="preserve"> </w:t>
      </w:r>
      <w:r>
        <w:t xml:space="preserve">“</w:t>
      </w:r>
      <w:r>
        <w:t xml:space="preserve">aktér/instituce X by měl udělat Y</w:t>
      </w:r>
      <w:r>
        <w:t xml:space="preserve">”</w:t>
      </w:r>
    </w:p>
    <w:p>
      <w:pPr>
        <w:pStyle w:val="FirstParagraph"/>
      </w:pPr>
      <w:r>
        <w:rPr>
          <w:bCs/>
          <w:b/>
        </w:rPr>
        <w:t xml:space="preserve">Jak psát manažerská shrnutí</w:t>
      </w:r>
    </w:p>
    <w:p>
      <w:pPr>
        <w:numPr>
          <w:ilvl w:val="0"/>
          <w:numId w:val="1013"/>
        </w:numPr>
        <w:pStyle w:val="Compact"/>
      </w:pPr>
      <w:r>
        <w:t xml:space="preserve">Hlavním cílem je poskytnout informace k pochopení diskutovaného problému, přesvědčit, že je potřeba ho řešit, navrhnout doporučení a pomoci dospět k rozhodnutí ohledně dalších kroků.</w:t>
      </w:r>
    </w:p>
    <w:p>
      <w:pPr>
        <w:pStyle w:val="FirstParagraph"/>
      </w:pPr>
      <w:r>
        <w:t xml:space="preserve">Nezabíhejte do všech podrobností, místo toho poskytnout čtenáři dostatek informací, aby pochopil evaluovaný problém a dospěl k rozhodnutí.</w:t>
      </w:r>
    </w:p>
    <w:p>
      <w:pPr>
        <w:numPr>
          <w:ilvl w:val="0"/>
          <w:numId w:val="1014"/>
        </w:numPr>
        <w:pStyle w:val="Compact"/>
      </w:pPr>
      <w:r>
        <w:t xml:space="preserve">Vycházet z jasných dat a evidence. Každé zjištění by mělo čtenáře odkázat na na příslušnou část hlavní části zprávy. Například:</w:t>
      </w:r>
      <w:r>
        <w:t xml:space="preserve"> </w:t>
      </w:r>
      <w:r>
        <w:t xml:space="preserve">“</w:t>
      </w:r>
      <w:r>
        <w:t xml:space="preserve">Více v oddílu N o znalostech zaměstnanců</w:t>
      </w:r>
      <w:r>
        <w:t xml:space="preserve">”</w:t>
      </w:r>
      <w:r>
        <w:t xml:space="preserve"> </w:t>
      </w:r>
      <w:r>
        <w:t xml:space="preserve">.</w:t>
      </w:r>
    </w:p>
    <w:p>
      <w:pPr>
        <w:numPr>
          <w:ilvl w:val="0"/>
          <w:numId w:val="1014"/>
        </w:numPr>
        <w:pStyle w:val="Compact"/>
      </w:pPr>
      <w:r>
        <w:t xml:space="preserve">Zaměřit se na výsledky a jejich význam, ne na metody. Čtenáře zajímá, co jste zjistili a co doporučujete. Nepotřebují znát podrobnosti vaší metodiky.</w:t>
      </w:r>
    </w:p>
    <w:p>
      <w:pPr>
        <w:numPr>
          <w:ilvl w:val="0"/>
          <w:numId w:val="1014"/>
        </w:numPr>
        <w:pStyle w:val="Compact"/>
      </w:pPr>
      <w:r>
        <w:t xml:space="preserve">Poskytnout</w:t>
      </w:r>
      <w:r>
        <w:t xml:space="preserve"> </w:t>
      </w:r>
      <w:r>
        <w:t xml:space="preserve">“</w:t>
      </w:r>
      <w:r>
        <w:t xml:space="preserve">big picture</w:t>
      </w:r>
      <w:r>
        <w:t xml:space="preserve">”</w:t>
      </w:r>
      <w:r>
        <w:t xml:space="preserve"> </w:t>
      </w:r>
      <w:r>
        <w:t xml:space="preserve">o diskutovaném problému</w:t>
      </w:r>
    </w:p>
    <w:bookmarkEnd w:id="34"/>
    <w:bookmarkStart w:id="35" w:name="jak-texty-editovat"/>
    <w:p>
      <w:pPr>
        <w:pStyle w:val="Heading2"/>
      </w:pPr>
      <w:r>
        <w:t xml:space="preserve">Jak texty editovat</w:t>
      </w:r>
    </w:p>
    <w:p>
      <w:pPr>
        <w:pStyle w:val="FirstParagraph"/>
      </w:pPr>
      <w:r>
        <w:t xml:space="preserve">Zaprvé, pokud možno s odstupem časovým i personálním. Pokud editujete svůj vlastní text, dejte si odstup aspoň den, ideálně víc. Nejlepší je nechat text přečíst i někoho, kdo ho nepsal nebo u projektu vůbec nebyl.</w:t>
      </w:r>
    </w:p>
    <w:p>
      <w:pPr>
        <w:pStyle w:val="BodyText"/>
      </w:pPr>
      <w:r>
        <w:t xml:space="preserve">Zadruhé, odlište jednotlivé pohledy na text a jeho různé úrovně řešte odděleně, ideálně při oddělených</w:t>
      </w:r>
      <w:r>
        <w:t xml:space="preserve"> </w:t>
      </w:r>
      <w:r>
        <w:t xml:space="preserve">“</w:t>
      </w:r>
      <w:r>
        <w:t xml:space="preserve">editorských průchodech</w:t>
      </w:r>
      <w:r>
        <w:t xml:space="preserve">”</w:t>
      </w:r>
      <w:r>
        <w:t xml:space="preserve"> </w:t>
      </w:r>
      <w:r>
        <w:t xml:space="preserve">textem:</w:t>
      </w:r>
    </w:p>
    <w:p>
      <w:pPr>
        <w:numPr>
          <w:ilvl w:val="0"/>
          <w:numId w:val="1015"/>
        </w:numPr>
        <w:pStyle w:val="Compact"/>
      </w:pPr>
      <w:r>
        <w:t xml:space="preserve">Struktura: je celková struktura textu vhodná a logická? Lze aplikovat i na úrovni sekcí a odstavců.</w:t>
      </w:r>
    </w:p>
    <w:p>
      <w:pPr>
        <w:numPr>
          <w:ilvl w:val="0"/>
          <w:numId w:val="1015"/>
        </w:numPr>
        <w:pStyle w:val="Compact"/>
      </w:pPr>
      <w:r>
        <w:t xml:space="preserve">Věty: dávají jednotlivé věty smysl? Jsou pochopitelné a logické?</w:t>
      </w:r>
    </w:p>
    <w:p>
      <w:pPr>
        <w:numPr>
          <w:ilvl w:val="0"/>
          <w:numId w:val="1015"/>
        </w:numPr>
        <w:pStyle w:val="Compact"/>
      </w:pPr>
      <w:r>
        <w:t xml:space="preserve">Formulace (</w:t>
      </w:r>
      <w:r>
        <w:t xml:space="preserve">“</w:t>
      </w:r>
      <w:r>
        <w:t xml:space="preserve">copy editing</w:t>
      </w:r>
      <w:r>
        <w:t xml:space="preserve">”</w:t>
      </w:r>
      <w:r>
        <w:t xml:space="preserve">): jak vyznívají konkrétní formulace? Jsou zvolena správná a vhodná slova? Jak text vyznivá svým tónem, slovníkem?</w:t>
      </w:r>
    </w:p>
    <w:p>
      <w:pPr>
        <w:numPr>
          <w:ilvl w:val="0"/>
          <w:numId w:val="1015"/>
        </w:numPr>
        <w:pStyle w:val="Compact"/>
      </w:pPr>
      <w:r>
        <w:t xml:space="preserve">Proofreading: opravte překlepy a pravopisné a gramatické chyby.</w:t>
      </w:r>
    </w:p>
    <w:p>
      <w:pPr>
        <w:pStyle w:val="FirstParagraph"/>
      </w:pPr>
      <w:r>
        <w:t xml:space="preserve">Zatřetí, u analytických zpráv, kde cílem je předávat faktické poznatky, zvláště pak čísla, je potřeba do procesu zajištění kvality zařadit ještě fact check:</w:t>
      </w:r>
    </w:p>
    <w:p>
      <w:pPr>
        <w:numPr>
          <w:ilvl w:val="0"/>
          <w:numId w:val="1016"/>
        </w:numPr>
        <w:pStyle w:val="Compact"/>
      </w:pPr>
      <w:r>
        <w:t xml:space="preserve">Říkáme stejné věci (tvrzení) na různých místech?</w:t>
      </w:r>
    </w:p>
    <w:p>
      <w:pPr>
        <w:numPr>
          <w:ilvl w:val="0"/>
          <w:numId w:val="1016"/>
        </w:numPr>
        <w:pStyle w:val="Compact"/>
      </w:pPr>
      <w:r>
        <w:t xml:space="preserve">Máme na různých místech stejná čísla, resp. jsou čísla na různých místech zprávy vzájemně konzistentní?</w:t>
      </w:r>
    </w:p>
    <w:p>
      <w:pPr>
        <w:numPr>
          <w:ilvl w:val="0"/>
          <w:numId w:val="1016"/>
        </w:numPr>
        <w:pStyle w:val="Compact"/>
      </w:pPr>
      <w:r>
        <w:t xml:space="preserve">Dokážeme jednotlivá čísla dostopovat ke zdroji nebo analytickému kroku?</w:t>
      </w:r>
    </w:p>
    <w:p>
      <w:pPr>
        <w:numPr>
          <w:ilvl w:val="0"/>
          <w:numId w:val="1016"/>
        </w:numPr>
        <w:pStyle w:val="Compact"/>
      </w:pPr>
      <w:r>
        <w:t xml:space="preserve">Jsou konkrétní čísla a faktická tvrzení věcně správně?</w:t>
      </w:r>
    </w:p>
    <w:p>
      <w:pPr>
        <w:pStyle w:val="FirstParagraph"/>
      </w:pPr>
      <w:r>
        <w:t xml:space="preserve">U bodů (3) a (4) můžete kontrolu udělat náhodně nebo</w:t>
      </w:r>
      <w:r>
        <w:t xml:space="preserve"> </w:t>
      </w:r>
      <w:r>
        <w:t xml:space="preserve">“</w:t>
      </w:r>
      <w:r>
        <w:t xml:space="preserve">stratifikovaně</w:t>
      </w:r>
      <w:r>
        <w:t xml:space="preserve">”</w:t>
      </w:r>
      <w:r>
        <w:t xml:space="preserve"> </w:t>
      </w:r>
      <w:r>
        <w:t xml:space="preserve">– např. vybrat vzorek čísel, které společně můžou ukázat na problém při zpracování dat.</w:t>
      </w:r>
    </w:p>
    <w:p>
      <w:pPr>
        <w:pStyle w:val="BlockText"/>
      </w:pPr>
      <w:r>
        <w:t xml:space="preserve">Zvláště na fact-checkingovou fázi se snažte zapojit někoho, kdo čísla nepočítal a zprávu nepsal.</w:t>
      </w:r>
    </w:p>
    <w:bookmarkEnd w:id="35"/>
    <w:bookmarkStart w:id="37" w:name="jak-psát-věty-a-odstavce"/>
    <w:p>
      <w:pPr>
        <w:pStyle w:val="Heading2"/>
      </w:pPr>
      <w:r>
        <w:t xml:space="preserve">Jak psát věty a odstavce</w:t>
      </w:r>
    </w:p>
    <w:p>
      <w:pPr>
        <w:pStyle w:val="FirstParagraph"/>
      </w:pPr>
      <w:r>
        <w:t xml:space="preserve">Při psaní delších textů se kromě celkové struktury musíte zaobírat i strukturou menších celků: vět a odstavců.</w:t>
      </w:r>
    </w:p>
    <w:p>
      <w:pPr>
        <w:pStyle w:val="BodyText"/>
      </w:pPr>
      <w:r>
        <w:rPr>
          <w:bCs/>
          <w:b/>
        </w:rPr>
        <w:t xml:space="preserve">Věty</w:t>
      </w:r>
      <w:r>
        <w:t xml:space="preserve"> </w:t>
      </w:r>
      <w:r>
        <w:t xml:space="preserve">jsou základní strukturální jednotkou, ve které se váš čtenář musí dokázat vyznat. Při strukturování vět je dobré mít na paměti pojem</w:t>
      </w:r>
      <w:r>
        <w:t xml:space="preserve"> </w:t>
      </w:r>
      <w:r>
        <w:rPr>
          <w:iCs/>
          <w:i/>
        </w:rPr>
        <w:t xml:space="preserve">pracovní paměti</w:t>
      </w:r>
      <w:r>
        <w:t xml:space="preserve"> </w:t>
      </w:r>
      <w:r>
        <w:t xml:space="preserve">vašeho čtenáře (můžete si ho také představit jako tzv. mental bandwidth, okamžitou mentální kapacitu). Proto:</w:t>
      </w:r>
    </w:p>
    <w:p>
      <w:pPr>
        <w:numPr>
          <w:ilvl w:val="0"/>
          <w:numId w:val="1017"/>
        </w:numPr>
        <w:pStyle w:val="Compact"/>
      </w:pPr>
      <w:r>
        <w:t xml:space="preserve">pište jednoduché věty, dlouhé a složité rozdělte</w:t>
      </w:r>
    </w:p>
    <w:p>
      <w:pPr>
        <w:numPr>
          <w:ilvl w:val="0"/>
          <w:numId w:val="1017"/>
        </w:numPr>
        <w:pStyle w:val="Compact"/>
      </w:pPr>
      <w:r>
        <w:t xml:space="preserve">používejte slovesa raději než podstatná jména (</w:t>
      </w:r>
      <w:r>
        <w:t xml:space="preserve">“</w:t>
      </w:r>
      <w:r>
        <w:t xml:space="preserve">zkrátili jsme</w:t>
      </w:r>
      <w:r>
        <w:t xml:space="preserve">”</w:t>
      </w:r>
      <w:r>
        <w:t xml:space="preserve"> </w:t>
      </w:r>
      <w:r>
        <w:t xml:space="preserve">raději než</w:t>
      </w:r>
      <w:r>
        <w:t xml:space="preserve"> </w:t>
      </w:r>
      <w:r>
        <w:t xml:space="preserve">“</w:t>
      </w:r>
      <w:r>
        <w:t xml:space="preserve">provedli jsme redukci délky</w:t>
      </w:r>
      <w:r>
        <w:t xml:space="preserve">”</w:t>
      </w:r>
      <w:r>
        <w:t xml:space="preserve">)</w:t>
      </w:r>
    </w:p>
    <w:p>
      <w:pPr>
        <w:numPr>
          <w:ilvl w:val="0"/>
          <w:numId w:val="1017"/>
        </w:numPr>
        <w:pStyle w:val="Compact"/>
      </w:pPr>
      <w:r>
        <w:t xml:space="preserve">neschovávejte pointu věty na její konec</w:t>
      </w:r>
    </w:p>
    <w:p>
      <w:pPr>
        <w:numPr>
          <w:ilvl w:val="0"/>
          <w:numId w:val="1017"/>
        </w:numPr>
        <w:pStyle w:val="Compact"/>
      </w:pPr>
      <w:r>
        <w:t xml:space="preserve">snažte se nezačínat věty vymezujícími nebo specifikujícími frázemi - jděte rovnou k věci (</w:t>
      </w:r>
      <w:r>
        <w:t xml:space="preserve">“</w:t>
      </w:r>
      <w:r>
        <w:t xml:space="preserve">Z důvodu…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V kontextu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 výjimkou</w:t>
      </w:r>
      <w:r>
        <w:t xml:space="preserve">”</w:t>
      </w:r>
      <w:r>
        <w:t xml:space="preserve">)</w:t>
      </w:r>
    </w:p>
    <w:p>
      <w:pPr>
        <w:numPr>
          <w:ilvl w:val="0"/>
          <w:numId w:val="1017"/>
        </w:numPr>
        <w:pStyle w:val="Compact"/>
      </w:pPr>
      <w:r>
        <w:t xml:space="preserve">omezte abstraktní</w:t>
      </w:r>
      <w:r>
        <w:t xml:space="preserve"> </w:t>
      </w:r>
      <w:r>
        <w:t xml:space="preserve">“</w:t>
      </w:r>
      <w:r>
        <w:t xml:space="preserve">metapojmy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koncept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rovina</w:t>
      </w:r>
      <w:r>
        <w:t xml:space="preserve">”</w:t>
      </w:r>
      <w:r>
        <w:t xml:space="preserve"> </w:t>
      </w:r>
      <w:r>
        <w:t xml:space="preserve">atd.)</w:t>
      </w:r>
    </w:p>
    <w:p>
      <w:pPr>
        <w:pStyle w:val="FirstParagraph"/>
      </w:pPr>
      <w:r>
        <w:rPr>
          <w:bCs/>
          <w:b/>
        </w:rPr>
        <w:t xml:space="preserve">Odstavce</w:t>
      </w:r>
      <w:r>
        <w:t xml:space="preserve"> </w:t>
      </w:r>
      <w:r>
        <w:t xml:space="preserve">by měly fungovat jako celky. Mělo by být jasné, proč je daná skupina věc v jednom odstavci (a ne v tom předchozím nebo následujícím). Každý odstavec by mít svou vlastní strukturu, ideálně s</w:t>
      </w:r>
    </w:p>
    <w:p>
      <w:pPr>
        <w:numPr>
          <w:ilvl w:val="0"/>
          <w:numId w:val="1018"/>
        </w:numPr>
        <w:pStyle w:val="Compact"/>
      </w:pPr>
      <w:r>
        <w:t xml:space="preserve">úvodní větou na začátku, která shrne tvrzení odstavce – tuto větu čtou čtenáři, kteří mají čas text jen proletět;</w:t>
      </w:r>
    </w:p>
    <w:p>
      <w:pPr>
        <w:numPr>
          <w:ilvl w:val="0"/>
          <w:numId w:val="1018"/>
        </w:numPr>
        <w:pStyle w:val="Compact"/>
      </w:pPr>
      <w:r>
        <w:t xml:space="preserve">tělem odstavce, který typicky dodává podklady, důvody nebo příklady pro úvodní větu;</w:t>
      </w:r>
    </w:p>
    <w:p>
      <w:pPr>
        <w:numPr>
          <w:ilvl w:val="0"/>
          <w:numId w:val="1018"/>
        </w:numPr>
        <w:pStyle w:val="Compact"/>
      </w:pPr>
      <w:r>
        <w:t xml:space="preserve">větou, která odstavec uzavírá nebo naznačuje přechod do nového.</w:t>
      </w:r>
    </w:p>
    <w:p>
      <w:pPr>
        <w:pStyle w:val="FirstParagraph"/>
      </w:pPr>
      <w:r>
        <w:t xml:space="preserve">Více viz</w:t>
      </w:r>
      <w:r>
        <w:t xml:space="preserve"> </w:t>
      </w:r>
      <w:r>
        <w:t xml:space="preserve">@talbotHowWriteParagraphs2014</w:t>
      </w:r>
      <w:r>
        <w:t xml:space="preserve">.</w:t>
      </w:r>
    </w:p>
    <w:p>
      <w:pPr>
        <w:pStyle w:val="BlockText"/>
      </w:pPr>
      <w:r>
        <w:t xml:space="preserve">Pokud píšete pro web, mohly by se vám hodit</w:t>
      </w:r>
      <w:r>
        <w:t xml:space="preserve"> </w:t>
      </w:r>
      <w:hyperlink r:id="rId36">
        <w:r>
          <w:rPr>
            <w:rStyle w:val="Hyperlink"/>
          </w:rPr>
          <w:t xml:space="preserve">pravidla tvorby textu na web</w:t>
        </w:r>
      </w:hyperlink>
      <w:r>
        <w:t xml:space="preserve">, která jsou součástí design systému gov.cz. Obecné průvodce psaní nabízí i Ministerstvo vnitra (Metodika Easy to Read,</w:t>
      </w:r>
      <w:r>
        <w:t xml:space="preserve"> </w:t>
      </w:r>
      <w:r>
        <w:t xml:space="preserve">@ministerstvovnitracrMetodikaEasytoRead2019</w:t>
      </w:r>
      <w:r>
        <w:t xml:space="preserve">) a kancelář ombudsmana</w:t>
      </w:r>
      <w:r>
        <w:t xml:space="preserve"> </w:t>
      </w:r>
      <w:r>
        <w:t xml:space="preserve">[@samankovaJakPsatSrozumitelne2022]</w:t>
      </w:r>
      <w:r>
        <w:t xml:space="preserve">.</w:t>
      </w:r>
    </w:p>
    <w:bookmarkEnd w:id="37"/>
    <w:bookmarkEnd w:id="38"/>
    <w:bookmarkStart w:id="39" w:name="triky"/>
    <w:p>
      <w:pPr>
        <w:pStyle w:val="Heading1"/>
      </w:pPr>
      <w:r>
        <w:t xml:space="preserve">Jak to provést</w:t>
      </w:r>
    </w:p>
    <w:p>
      <w:pPr>
        <w:pStyle w:val="FirstParagraph"/>
      </w:pPr>
      <w:r>
        <w:t xml:space="preserve">Dobrou praxí mohou být interní checklisty, které stanoví hlavní aspekty, jež by měly výstupy obsahovat. Ty můžete předat i externím tvůrcům zpráv, např. řešitelům výzkumných úkolů nebo dodavatelům analytických zakázek.</w:t>
      </w:r>
    </w:p>
    <w:p>
      <w:pPr>
        <w:pStyle w:val="BodyText"/>
      </w:pPr>
      <w:r>
        <w:t xml:space="preserve">Pokud text vzniká ve spolupráci zadavatele a dodavatele – např. zadavatel je v pozici</w:t>
      </w:r>
      <w:r>
        <w:t xml:space="preserve"> </w:t>
      </w:r>
      <w:r>
        <w:t xml:space="preserve">“</w:t>
      </w:r>
      <w:r>
        <w:t xml:space="preserve">připomínkujícího</w:t>
      </w:r>
      <w:r>
        <w:t xml:space="preserve">”</w:t>
      </w:r>
      <w:r>
        <w:t xml:space="preserve">, je vhodné, aby si tyto dvě strany vyjasnily, jakou vrstvu kontroly (viz</w:t>
      </w:r>
      <w:r>
        <w:t xml:space="preserve"> </w:t>
      </w:r>
      <w:hyperlink w:anchor="jak-texty-editovat">
        <w:r>
          <w:rPr>
            <w:rStyle w:val="Hyperlink"/>
          </w:rPr>
          <w:t xml:space="preserve">Jak texty editovat</w:t>
        </w:r>
      </w:hyperlink>
      <w:r>
        <w:t xml:space="preserve"> </w:t>
      </w:r>
      <w:r>
        <w:t xml:space="preserve">výše) chcete dělat v jaké fázi projektu.</w:t>
      </w:r>
    </w:p>
    <w:p>
      <w:pPr>
        <w:pStyle w:val="BodyText"/>
      </w:pPr>
      <w:r>
        <w:t xml:space="preserve">U mnoha reportů se vyplatí využít nebo zaplatit někoho, kdo v procesu nebyl zapojený, a nechat ho/ji zprávu přečíst očima adresáta nebo přinejmenším vlastníma očima nezúčastněného čtenáře.</w:t>
      </w:r>
    </w:p>
    <w:p>
      <w:pPr>
        <w:pStyle w:val="BodyText"/>
      </w:pPr>
      <w:r>
        <w:t xml:space="preserve">Osvědčilo se i sdílení příkladů dobrých a špatných analytických výstupů, které mohou být sdíleny uvnitř oddělení i s dalšími partnery. Tyto příklady konkretizují obecnější principy a jsou tak nápomocné ve sladění očekávání ohledně zpráv.</w:t>
      </w:r>
    </w:p>
    <w:bookmarkEnd w:id="39"/>
    <w:bookmarkStart w:id="44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r>
        <w:t xml:space="preserve">Velmi užitečným úvodem do psaní přívětivé ke čtenářům je</w:t>
      </w:r>
      <w:r>
        <w:t xml:space="preserve"> </w:t>
      </w:r>
      <w:r>
        <w:t xml:space="preserve">@pinkerSenseStyleThinking2015</w:t>
      </w:r>
      <w:r>
        <w:t xml:space="preserve">. Kniha je sice o psaní v angličtině, principy psaní s ohledem na fungování lidského mozku jsou využitelné obecně.</w:t>
      </w:r>
    </w:p>
    <w:p>
      <w:pPr>
        <w:pStyle w:val="BodyText"/>
      </w:pPr>
      <w:r>
        <w:t xml:space="preserve">Zvláště pro tvorbu obsahu na webu je vhodná knížka</w:t>
      </w:r>
      <w:r>
        <w:t xml:space="preserve"> </w:t>
      </w:r>
      <w:r>
        <w:rPr>
          <w:iCs/>
          <w:i/>
        </w:rPr>
        <w:t xml:space="preserve">Content Design</w:t>
      </w:r>
      <w:r>
        <w:t xml:space="preserve"> </w:t>
      </w:r>
      <w:r>
        <w:t xml:space="preserve">[@richardsContentDesign2017]</w:t>
      </w:r>
      <w:r>
        <w:t xml:space="preserve">.</w:t>
      </w:r>
    </w:p>
    <w:p>
      <w:pPr>
        <w:pStyle w:val="BodyText"/>
      </w:pPr>
      <w:r>
        <w:t xml:space="preserve">Užitečné jsou publikace Chrise Lysyho, mnohé dostupné na webu</w:t>
      </w:r>
      <w:r>
        <w:t xml:space="preserve"> </w:t>
      </w:r>
      <w:r>
        <w:t xml:space="preserve">[@lysyReportingRevolution2022; @lysyHumanCenteredReport2020]</w:t>
      </w:r>
      <w:r>
        <w:t xml:space="preserve">.</w:t>
      </w:r>
    </w:p>
    <w:p>
      <w:pPr>
        <w:pStyle w:val="BodyText"/>
      </w:pPr>
      <w:r>
        <w:t xml:space="preserve">O psaní o číslech dobře pojednává Jane E. Miller v</w:t>
      </w:r>
      <w:r>
        <w:t xml:space="preserve"> </w:t>
      </w:r>
      <w:r>
        <w:rPr>
          <w:iCs/>
          <w:i/>
        </w:rPr>
        <w:t xml:space="preserve">The Chicago Guide to Writing About Numbers</w:t>
      </w:r>
      <w:r>
        <w:t xml:space="preserve"> </w:t>
      </w:r>
      <w:r>
        <w:t xml:space="preserve">[@millerChicagoGuideWriting2015]</w:t>
      </w:r>
      <w:r>
        <w:t xml:space="preserve">.</w:t>
      </w:r>
    </w:p>
    <w:p>
      <w:pPr>
        <w:pStyle w:val="BodyText"/>
      </w:pPr>
      <w:r>
        <w:t xml:space="preserve">V češtině stojí za to</w:t>
      </w:r>
      <w:r>
        <w:t xml:space="preserve"> </w:t>
      </w:r>
      <w:r>
        <w:rPr>
          <w:iCs/>
          <w:i/>
        </w:rPr>
        <w:t xml:space="preserve">Pište čtivě a srozumitelně</w:t>
      </w:r>
      <w:r>
        <w:t xml:space="preserve"> </w:t>
      </w:r>
      <w:r>
        <w:t xml:space="preserve">[@behunPisteCtiveSrozumitelne2023]</w:t>
      </w:r>
      <w:r>
        <w:t xml:space="preserve">.</w:t>
      </w:r>
    </w:p>
    <w:p>
      <w:pPr>
        <w:pStyle w:val="BodyText"/>
      </w:pPr>
      <w:r>
        <w:t xml:space="preserve">Další tipy:</w:t>
      </w:r>
    </w:p>
    <w:p>
      <w:pPr>
        <w:numPr>
          <w:ilvl w:val="0"/>
          <w:numId w:val="1019"/>
        </w:numPr>
        <w:pStyle w:val="Compact"/>
      </w:pPr>
      <w:hyperlink r:id="rId40">
        <w:r>
          <w:rPr>
            <w:rStyle w:val="Hyperlink"/>
          </w:rPr>
          <w:t xml:space="preserve">Writing for utilisation</w:t>
        </w:r>
      </w:hyperlink>
    </w:p>
    <w:p>
      <w:pPr>
        <w:numPr>
          <w:ilvl w:val="0"/>
          <w:numId w:val="1019"/>
        </w:numPr>
        <w:pStyle w:val="Compact"/>
      </w:pPr>
      <w:hyperlink r:id="rId41">
        <w:r>
          <w:rPr>
            <w:rStyle w:val="Hyperlink"/>
          </w:rPr>
          <w:t xml:space="preserve">Guide for Research Publications</w:t>
        </w:r>
      </w:hyperlink>
      <w:r>
        <w:t xml:space="preserve"> </w:t>
      </w:r>
      <w:r>
        <w:t xml:space="preserve">britské státní správy.</w:t>
      </w:r>
    </w:p>
    <w:bookmarkStart w:id="43" w:name="odkazovaná-literatura"/>
    <w:p>
      <w:pPr>
        <w:pStyle w:val="Heading2"/>
      </w:pPr>
      <w:r>
        <w:t xml:space="preserve">Odkazovaná literatura</w:t>
      </w:r>
    </w:p>
    <w:bookmarkStart w:id="42" w:name="refs"/>
    <w:bookmarkEnd w:id="42"/>
    <w:bookmarkEnd w:id="43"/>
    <w:bookmarkEnd w:id="4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hyperlink" Id="rId20" Target="../pripadove-studie/mmr" TargetMode="External" /><Relationship Type="http://schemas.openxmlformats.org/officeDocument/2006/relationships/hyperlink" Id="rId41" Target="https://assets.publishing.service.gov.uk/government/uploads/system/uploads/attachment_data/file/1179765/Research_reports_guidance_August2023.pdf" TargetMode="External" /><Relationship Type="http://schemas.openxmlformats.org/officeDocument/2006/relationships/hyperlink" Id="rId36" Target="https://designsystem.gov.cz/pravidla/pravidla-pro-tvorbu-obsahu.html" TargetMode="External" /><Relationship Type="http://schemas.openxmlformats.org/officeDocument/2006/relationships/hyperlink" Id="rId40" Target="https://www.betterevaluation.org/blog/writing-for-utilisation" TargetMode="External" /><Relationship Type="http://schemas.openxmlformats.org/officeDocument/2006/relationships/hyperlink" Id="rId24" Target="knowledge-management.qmd" TargetMode="External" /><Relationship Type="http://schemas.openxmlformats.org/officeDocument/2006/relationships/hyperlink" Id="rId21" Target="management-externiho-vyzkumu.qmd" TargetMode="External" /><Relationship Type="http://schemas.openxmlformats.org/officeDocument/2006/relationships/hyperlink" Id="rId22" Target="user-testing.qmd" TargetMode="External" /><Relationship Type="http://schemas.openxmlformats.org/officeDocument/2006/relationships/hyperlink" Id="rId23" Target="vizualizace-dat.q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../pripadove-studie/mmr" TargetMode="External" /><Relationship Type="http://schemas.openxmlformats.org/officeDocument/2006/relationships/hyperlink" Id="rId41" Target="https://assets.publishing.service.gov.uk/government/uploads/system/uploads/attachment_data/file/1179765/Research_reports_guidance_August2023.pdf" TargetMode="External" /><Relationship Type="http://schemas.openxmlformats.org/officeDocument/2006/relationships/hyperlink" Id="rId36" Target="https://designsystem.gov.cz/pravidla/pravidla-pro-tvorbu-obsahu.html" TargetMode="External" /><Relationship Type="http://schemas.openxmlformats.org/officeDocument/2006/relationships/hyperlink" Id="rId40" Target="https://www.betterevaluation.org/blog/writing-for-utilisation" TargetMode="External" /><Relationship Type="http://schemas.openxmlformats.org/officeDocument/2006/relationships/hyperlink" Id="rId24" Target="knowledge-management.qmd" TargetMode="External" /><Relationship Type="http://schemas.openxmlformats.org/officeDocument/2006/relationships/hyperlink" Id="rId21" Target="management-externiho-vyzkumu.qmd" TargetMode="External" /><Relationship Type="http://schemas.openxmlformats.org/officeDocument/2006/relationships/hyperlink" Id="rId22" Target="user-testing.qmd" TargetMode="External" /><Relationship Type="http://schemas.openxmlformats.org/officeDocument/2006/relationships/hyperlink" Id="rId23" Target="vizualizace-dat.q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Kvalitní a efektivní zprávy</dc:title>
  <dc:creator/>
  <dc:description>Domů &gt; Průvodce &gt; Kvalitní a efektivní zprávy</dc:description>
  <cp:keywords/>
  <dcterms:created xsi:type="dcterms:W3CDTF">2024-05-02T17:55:15Z</dcterms:created>
  <dcterms:modified xsi:type="dcterms:W3CDTF">2024-05-02T17:55:15Z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header-includes">
    <vt:lpwstr/>
  </property>
  <property fmtid="{D5CDD505-2E9C-101B-9397-08002B2CF9AE}" pid="6" name="include-after">
    <vt:lpwstr/>
  </property>
  <property fmtid="{D5CDD505-2E9C-101B-9397-08002B2CF9AE}" pid="7" name="include-before">
    <vt:lpwstr/>
  </property>
  <property fmtid="{D5CDD505-2E9C-101B-9397-08002B2CF9AE}" pid="8" name="labels">
    <vt:lpwstr/>
  </property>
  <property fmtid="{D5CDD505-2E9C-101B-9397-08002B2CF9AE}" pid="9" name="poradi">
    <vt:lpwstr>1</vt:lpwstr>
  </property>
  <property fmtid="{D5CDD505-2E9C-101B-9397-08002B2CF9AE}" pid="10" name="subtitle">
    <vt:lpwstr>Aby se vaše reporty dobře četly</vt:lpwstr>
  </property>
  <property fmtid="{D5CDD505-2E9C-101B-9397-08002B2CF9AE}" pid="11" name="title-block-banner">
    <vt:lpwstr>True</vt:lpwstr>
  </property>
  <property fmtid="{D5CDD505-2E9C-101B-9397-08002B2CF9AE}" pid="12" name="title-block-categories">
    <vt:lpwstr>False</vt:lpwstr>
  </property>
  <property fmtid="{D5CDD505-2E9C-101B-9397-08002B2CF9AE}" pid="13" name="toc-title">
    <vt:lpwstr>Table of contents</vt:lpwstr>
  </property>
  <property fmtid="{D5CDD505-2E9C-101B-9397-08002B2CF9AE}" pid="14" name="uplevel">
    <vt:lpwstr>Průvodce</vt:lpwstr>
  </property>
  <property fmtid="{D5CDD505-2E9C-101B-9397-08002B2CF9AE}" pid="15" name="uplevel-url">
    <vt:lpwstr>/pruvodce/index.html</vt:lpwstr>
  </property>
</Properties>
</file>