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odttf" ContentType="application/vnd.openxmlformats-officedocument.obfuscatedFont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media/rId21.png" ContentType="image/png"/>
  <Override PartName="/word/media/rId34.png" ContentType="image/png"/>
  <Override PartName="/word/media/rId42.webp" ContentType="image/webp"/>
  <Override PartName="/word/media/rId39.jpg" ContentType="image/jpe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Tvorba</w:t>
      </w:r>
      <w:r>
        <w:t xml:space="preserve"> </w:t>
      </w:r>
      <w:r>
        <w:t xml:space="preserve">nástroje</w:t>
      </w:r>
      <w:r>
        <w:t xml:space="preserve"> </w:t>
      </w:r>
      <w:r>
        <w:t xml:space="preserve">veřejné</w:t>
      </w:r>
      <w:r>
        <w:t xml:space="preserve"> </w:t>
      </w:r>
      <w:r>
        <w:t xml:space="preserve">politiky</w:t>
      </w:r>
    </w:p>
    <w:p>
      <w:pPr>
        <w:pStyle w:val="Subtitle"/>
      </w:pPr>
      <w:r>
        <w:t xml:space="preserve">Jak</w:t>
      </w:r>
      <w:r>
        <w:t xml:space="preserve"> </w:t>
      </w:r>
      <w:r>
        <w:t xml:space="preserve">lépe</w:t>
      </w:r>
      <w:r>
        <w:t xml:space="preserve"> </w:t>
      </w:r>
      <w:r>
        <w:t xml:space="preserve">připravovat</w:t>
      </w:r>
      <w:r>
        <w:t xml:space="preserve"> </w:t>
      </w:r>
      <w:r>
        <w:t xml:space="preserve">dotační</w:t>
      </w:r>
      <w:r>
        <w:t xml:space="preserve"> </w:t>
      </w:r>
      <w:r>
        <w:t xml:space="preserve">výzvy</w:t>
      </w:r>
      <w:r>
        <w:t xml:space="preserve"> </w:t>
      </w:r>
      <w:r>
        <w:t xml:space="preserve">a</w:t>
      </w:r>
      <w:r>
        <w:t xml:space="preserve"> </w:t>
      </w:r>
      <w:r>
        <w:t xml:space="preserve">podobné</w:t>
      </w:r>
      <w:r>
        <w:t xml:space="preserve"> </w:t>
      </w:r>
      <w:r>
        <w:t xml:space="preserve">instrumenty</w:t>
      </w:r>
    </w:p>
    <w:bookmarkStart w:id="27" w:name="o-co-jde-a-k-čemu-to-je"/>
    <w:p>
      <w:pPr>
        <w:pStyle w:val="Heading1"/>
      </w:pPr>
      <w:r>
        <w:t xml:space="preserve">O co jde a k čemu to je</w:t>
      </w:r>
    </w:p>
    <w:p>
      <w:pPr>
        <w:pStyle w:val="FirstParagraph"/>
      </w:pPr>
      <w:r>
        <w:t xml:space="preserve">Tento návod vám pomůže zefektivnit přípravu nástrojů veřejné politiky, jako jsou například:</w:t>
      </w:r>
    </w:p>
    <w:p>
      <w:pPr>
        <w:numPr>
          <w:ilvl w:val="0"/>
          <w:numId w:val="1001"/>
        </w:numPr>
        <w:pStyle w:val="Compact"/>
      </w:pPr>
      <w:r>
        <w:t xml:space="preserve">dotační výzvy (např. v EU fondech)</w:t>
      </w:r>
    </w:p>
    <w:p>
      <w:pPr>
        <w:numPr>
          <w:ilvl w:val="0"/>
          <w:numId w:val="1001"/>
        </w:numPr>
        <w:pStyle w:val="Compact"/>
      </w:pPr>
      <w:r>
        <w:t xml:space="preserve">dotační programy</w:t>
      </w:r>
    </w:p>
    <w:p>
      <w:pPr>
        <w:numPr>
          <w:ilvl w:val="0"/>
          <w:numId w:val="1001"/>
        </w:numPr>
        <w:pStyle w:val="Compact"/>
      </w:pPr>
      <w:r>
        <w:t xml:space="preserve">programy podpory</w:t>
      </w:r>
    </w:p>
    <w:p>
      <w:pPr>
        <w:numPr>
          <w:ilvl w:val="0"/>
          <w:numId w:val="1001"/>
        </w:numPr>
        <w:pStyle w:val="Compact"/>
      </w:pPr>
      <w:r>
        <w:t xml:space="preserve">vyhlášky a metodiky</w:t>
      </w:r>
    </w:p>
    <w:p>
      <w:pPr>
        <w:numPr>
          <w:ilvl w:val="0"/>
          <w:numId w:val="1001"/>
        </w:numPr>
        <w:pStyle w:val="Compact"/>
      </w:pPr>
      <w:r>
        <w:t xml:space="preserve">návrhy politik a strategií</w:t>
      </w:r>
    </w:p>
    <w:p>
      <w:pPr>
        <w:pStyle w:val="FirstParagraph"/>
      </w:pPr>
      <w:r>
        <w:t xml:space="preserve">Může se hodit i pro jednotlivé projekty.</w:t>
      </w:r>
    </w:p>
    <w:p>
      <w:pPr>
        <w:pStyle w:val="BodyText"/>
      </w:pPr>
      <w:r>
        <w:t xml:space="preserve">Naopak maximalistickým případem takového úkolu je tvorba zákonů, u které definici problému a vyhodnocování řešení ex ante probíhá v tzv.</w:t>
      </w:r>
      <w:r>
        <w:t xml:space="preserve"> </w:t>
      </w:r>
      <w:hyperlink r:id="rId20">
        <w:r>
          <w:rPr>
            <w:rStyle w:val="Hyperlink"/>
          </w:rPr>
          <w:t xml:space="preserve">Regulatory Impact Assessment (RIA)</w:t>
        </w:r>
      </w:hyperlink>
      <w:r>
        <w:t xml:space="preserve">. Tento návod nastiňuje analogický proces, ale v odlehčeném podání pro méně rozsáhlá opatření.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0A047"/>
          <w:right w:val="single" w:sz="4" w:space="0" w:color="00A047"/>
          <w:top w:val="single" w:sz="4" w:space="0" w:color="00A047"/>
          <w:bottom w:val="single" w:sz="4" w:space="0" w:color="00A047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ccf1e3" w:val="clear"/>
            <w:tcMar>
              <w:top w:w="92" w:type="dxa"/>
              <w:bottom w:w="92" w:type="dxa"/>
            </w:tcMar>
          </w:tcPr>
          <w:p>
            <w:pPr>
              <w:pStyle w:val="BodyText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22" name="Picture"/>
                  <a:graphic>
                    <a:graphicData uri="http://schemas.openxmlformats.org/drawingml/2006/picture">
                      <pic:pic>
                        <pic:nvPicPr>
                          <pic:cNvPr descr="/tmp/quarto/share/formats/docx/tip.png" id="23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Proč řešit</w:t>
            </w:r>
            <w:r>
              <w:t xml:space="preserve"> </w:t>
            </w:r>
            <w:r>
              <w:t xml:space="preserve">“</w:t>
            </w:r>
            <w:r>
              <w:t xml:space="preserve">tvorbu nástroje</w:t>
            </w:r>
            <w:r>
              <w:t xml:space="preserve">”</w:t>
            </w:r>
            <w:r>
              <w:t xml:space="preserve"> </w:t>
            </w:r>
            <w:r>
              <w:t xml:space="preserve">a co tím myslíme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p>
            <w:pPr>
              <w:pStyle w:val="BodyText"/>
            </w:pPr>
            <w:pPr>
              <w:spacing w:before="16"/>
            </w:pPr>
            <w:r>
              <w:t xml:space="preserve">Vycházíme ze dvou poznatků:</w:t>
            </w:r>
          </w:p>
          <w:p>
            <w:pPr>
              <w:pStyle w:val="BodyText"/>
            </w:pPr>
            <w:r>
              <w:t xml:space="preserve">1. Týmy ve státní správě často tvoří podobné nástroje veřejné politiky (</w:t>
            </w:r>
            <w:r>
              <w:rPr>
                <w:iCs/>
                <w:i/>
              </w:rPr>
              <w:t xml:space="preserve">policy making</w:t>
            </w:r>
            <w:r>
              <w:t xml:space="preserve">), ale někdy si ani neuvědomují, že jde o specifickou disciplínu.</w:t>
            </w:r>
            <w:r>
              <w:rPr>
                <w:rStyle w:val="FootnoteReference"/>
              </w:rPr>
              <w:footnoteReference w:id="24"/>
            </w:r>
          </w:p>
          <w:p>
            <w:pPr>
              <w:pStyle w:val="BodyText"/>
            </w:pPr>
            <w:pPr>
              <w:spacing w:after="16"/>
            </w:pPr>
            <w:r>
              <w:t xml:space="preserve">2. Pro tento typ práce neexistuje v českém prostředí dobrá metodická podpora.</w:t>
            </w:r>
          </w:p>
        </w:tc>
      </w:tr>
    </w:tbl>
    <w:p>
      <w:pPr>
        <w:pStyle w:val="BodyText"/>
      </w:pPr>
      <w:r>
        <w:t xml:space="preserve">Účelem tohoto návodu není tyto činnosti kompletně definovat a metodicky uchopit, ani nahradit existující metodiky tvorby např. výzev v EU fondech.</w:t>
      </w:r>
    </w:p>
    <w:p>
      <w:pPr>
        <w:pStyle w:val="BodyText"/>
      </w:pPr>
      <w:r>
        <w:t xml:space="preserve">Chceme ale upozornit na nejčastější nepochopení a nástrahy, se kterými se týmy potýkají, a usnadnit komukoli se s nimi popasovat bez ohledu na to, zda jde o dotační program, výzvu v EU fondech, nebo jiný typ nástroje.</w:t>
      </w:r>
    </w:p>
    <w:p>
      <w:pPr>
        <w:pStyle w:val="BodyText"/>
      </w:pPr>
      <w:r>
        <w:rPr>
          <w:bCs/>
          <w:b/>
        </w:rPr>
        <w:t xml:space="preserve">Případové studie</w:t>
      </w:r>
    </w:p>
    <w:p>
      <w:pPr>
        <w:pStyle w:val="BodyText"/>
      </w:pPr>
      <w:r>
        <w:t xml:space="preserve">Tento návod jsme vyvinuli a testovali ve spolupráci s oddělením rovných příležitostí ESF MPSV.</w:t>
      </w:r>
    </w:p>
    <w:p>
      <w:pPr>
        <w:pStyle w:val="BodyText"/>
      </w:pPr>
    </w:p>
    <w:p>
      <w:pPr>
        <w:pStyle w:val="BodyText"/>
      </w:pPr>
      <w:hyperlink r:id="rId26">
        <w:r>
          <w:rPr>
            <w:rStyle w:val="Hyperlink"/>
          </w:rPr>
          <w:t xml:space="preserve">Číst případovou studii</w:t>
        </w:r>
      </w:hyperlink>
    </w:p>
    <w:bookmarkEnd w:id="27"/>
    <w:bookmarkStart w:id="28" w:name="sebediagnostika-je-to-pro-mě"/>
    <w:p>
      <w:pPr>
        <w:pStyle w:val="Heading1"/>
      </w:pPr>
      <w:r>
        <w:t xml:space="preserve">Sebediagnostika: je to pro mě?</w:t>
      </w:r>
    </w:p>
    <w:p>
      <w:pPr>
        <w:pStyle w:val="FirstParagraph"/>
      </w:pPr>
      <w:r>
        <w:t xml:space="preserve">Návod je vhodný pro týmy v těchto situacích:</w:t>
      </w:r>
    </w:p>
    <w:p>
      <w:pPr>
        <w:numPr>
          <w:ilvl w:val="0"/>
          <w:numId w:val="1002"/>
        </w:numPr>
        <w:pStyle w:val="Compact"/>
      </w:pPr>
      <w:r>
        <w:t xml:space="preserve">Jejich pracovní agenda se obvykle neskládá z přípravy nástrojů veřejné politiky (tj. nejde např. o strategické týmy nebo týmy přípravy výzev EU fondů)</w:t>
      </w:r>
    </w:p>
    <w:p>
      <w:pPr>
        <w:numPr>
          <w:ilvl w:val="0"/>
          <w:numId w:val="1002"/>
        </w:numPr>
        <w:pStyle w:val="Compact"/>
      </w:pPr>
      <w:r>
        <w:t xml:space="preserve">Nedisponují dostatečnými lidskými kapacitami (především znalosti metod, postupů atd.) ani časovými možnostmi</w:t>
      </w:r>
    </w:p>
    <w:p>
      <w:pPr>
        <w:numPr>
          <w:ilvl w:val="0"/>
          <w:numId w:val="1002"/>
        </w:numPr>
        <w:pStyle w:val="Compact"/>
      </w:pPr>
      <w:r>
        <w:t xml:space="preserve">Nemají vyjasněné zadání zeshora</w:t>
      </w:r>
    </w:p>
    <w:p>
      <w:pPr>
        <w:numPr>
          <w:ilvl w:val="0"/>
          <w:numId w:val="1002"/>
        </w:numPr>
        <w:pStyle w:val="Compact"/>
      </w:pPr>
      <w:r>
        <w:t xml:space="preserve">Není jasná definice toho, k čemu má daný nástroj mířit</w:t>
      </w:r>
    </w:p>
    <w:p>
      <w:pPr>
        <w:numPr>
          <w:ilvl w:val="0"/>
          <w:numId w:val="1002"/>
        </w:numPr>
        <w:pStyle w:val="Compact"/>
      </w:pPr>
      <w:r>
        <w:t xml:space="preserve">Nedisponují dostatečnou datovou podporou</w:t>
      </w:r>
    </w:p>
    <w:p>
      <w:pPr>
        <w:pStyle w:val="FirstParagraph"/>
      </w:pPr>
    </w:p>
    <w:bookmarkEnd w:id="28"/>
    <w:bookmarkStart w:id="57" w:name="jak-na-to"/>
    <w:p>
      <w:pPr>
        <w:pStyle w:val="Heading1"/>
      </w:pPr>
      <w:r>
        <w:t xml:space="preserve">Jak na to</w:t>
      </w:r>
    </w:p>
    <w:bookmarkStart w:id="29" w:name="principy-a-základní-rady"/>
    <w:p>
      <w:pPr>
        <w:pStyle w:val="Heading2"/>
      </w:pPr>
      <w:r>
        <w:t xml:space="preserve">Principy a základní rady</w:t>
      </w:r>
    </w:p>
    <w:p>
      <w:pPr>
        <w:pStyle w:val="FirstParagraph"/>
      </w:pPr>
      <w:r>
        <w:rPr>
          <w:bCs/>
          <w:b/>
        </w:rPr>
        <w:t xml:space="preserve">Rozfázujte si proces a nepředbíhejte</w:t>
      </w:r>
    </w:p>
    <w:p>
      <w:pPr>
        <w:pStyle w:val="BodyText"/>
      </w:pPr>
      <w:r>
        <w:t xml:space="preserve">Je zásadní začít u definice a zachycení problému, ne u řešení. Alespoň v úvodu je dobré tyto kroky oddělit.</w:t>
      </w:r>
    </w:p>
    <w:p>
      <w:pPr>
        <w:pStyle w:val="BodyText"/>
      </w:pPr>
      <w:r>
        <w:rPr>
          <w:bCs/>
          <w:b/>
        </w:rPr>
        <w:t xml:space="preserve">Analýza neznamená popsat všechno</w:t>
      </w:r>
    </w:p>
    <w:p>
      <w:pPr>
        <w:pStyle w:val="BodyText"/>
      </w:pPr>
      <w:r>
        <w:t xml:space="preserve">U strategií se cíleně pracuje s analytickou a návrhovou částí; u menších nástrojů můžete pracovat podobně. Návrhu by měla předcházet analýza problému. Tou se ale nemyslí popis všeho vzdáleně relevantního, ale především odpověď na otázku</w:t>
      </w:r>
      <w:r>
        <w:t xml:space="preserve"> </w:t>
      </w:r>
      <w:r>
        <w:t xml:space="preserve">“</w:t>
      </w:r>
      <w:r>
        <w:t xml:space="preserve">jakou situaci se snažíme změnit?</w:t>
      </w:r>
      <w:r>
        <w:t xml:space="preserve">”</w:t>
      </w:r>
      <w:r>
        <w:t xml:space="preserve"> </w:t>
      </w:r>
      <w:r>
        <w:t xml:space="preserve">případně</w:t>
      </w:r>
      <w:r>
        <w:t xml:space="preserve"> </w:t>
      </w:r>
      <w:r>
        <w:t xml:space="preserve">“</w:t>
      </w:r>
      <w:r>
        <w:t xml:space="preserve">jaké příčiny ta situace má</w:t>
      </w:r>
      <w:r>
        <w:t xml:space="preserve">”</w:t>
      </w:r>
      <w:r>
        <w:t xml:space="preserve">, a pak možná ještě</w:t>
      </w:r>
      <w:r>
        <w:t xml:space="preserve"> </w:t>
      </w:r>
      <w:r>
        <w:t xml:space="preserve">“</w:t>
      </w:r>
      <w:r>
        <w:t xml:space="preserve">proč na tom záleží?</w:t>
      </w:r>
      <w:r>
        <w:t xml:space="preserve">”</w:t>
      </w:r>
      <w:r>
        <w:t xml:space="preserve">.</w:t>
      </w:r>
    </w:p>
    <w:p>
      <w:pPr>
        <w:pStyle w:val="BodyText"/>
      </w:pPr>
      <w:r>
        <w:rPr>
          <w:bCs/>
          <w:b/>
        </w:rPr>
        <w:t xml:space="preserve">Začněte u cílových skupin</w:t>
      </w:r>
    </w:p>
    <w:p>
      <w:pPr>
        <w:pStyle w:val="BodyText"/>
      </w:pPr>
      <w:r>
        <w:t xml:space="preserve">Na každý problém je dobré dívat se prizmatem někoho, koho se ten problém týká – buď na něj dopadá, nebo ho třeba svým chování způsobuje. Stejně tak je z pohledu cílových skupin potřeba zvažovat navrhovaná řešení.</w:t>
      </w:r>
    </w:p>
    <w:p>
      <w:pPr>
        <w:pStyle w:val="BodyText"/>
      </w:pPr>
      <w:r>
        <w:rPr>
          <w:bCs/>
          <w:b/>
        </w:rPr>
        <w:t xml:space="preserve">Stavte na tom, co už se o problému a řešeních ví</w:t>
      </w:r>
    </w:p>
    <w:p>
      <w:pPr>
        <w:pStyle w:val="BodyText"/>
      </w:pPr>
      <w:r>
        <w:t xml:space="preserve">Zřejmě nejste první na světě – a možná ani v Česku nebo ve vaší organizaci – kdo tento problém řeší. Podívejte se, co už se v dané oblasti udělalo a co se ví o tom, jak se to povedlo – u nás i v zahraničí.</w:t>
      </w:r>
    </w:p>
    <w:p>
      <w:pPr>
        <w:pStyle w:val="BodyText"/>
      </w:pPr>
      <w:r>
        <w:rPr>
          <w:bCs/>
          <w:b/>
        </w:rPr>
        <w:t xml:space="preserve">Rozšiřte si pole možných řešení</w:t>
      </w:r>
    </w:p>
    <w:p>
      <w:pPr>
        <w:pStyle w:val="BodyText"/>
      </w:pPr>
      <w:r>
        <w:t xml:space="preserve">Stejně jako byste neměli do procesu vstupovat s pevnou představou toho, jak problém vyřešíte, neměli byste ve fázi hledání řešení pracovat jen s jednou. Na jeden problém se dá typicky vymyslet řada řešení, často různého typu (např. peníze versus regulace). Každé s sebou nese různé výhody a nevýhody a každé posiluje odlišné hodnoty nebo principy.</w:t>
      </w:r>
    </w:p>
    <w:p>
      <w:pPr>
        <w:pStyle w:val="BodyText"/>
      </w:pPr>
      <w:r>
        <w:rPr>
          <w:bCs/>
          <w:b/>
        </w:rPr>
        <w:t xml:space="preserve">Včas se zamyslete, jak budete váš nástroj vyhodnocovat</w:t>
      </w:r>
    </w:p>
    <w:p>
      <w:pPr>
        <w:pStyle w:val="BodyText"/>
      </w:pPr>
      <w:r>
        <w:t xml:space="preserve">Evaluaci – způsob vyhodnocení vašeho návrhu při jeho realizaci – byste neměli zvažovat, až program dobíhá, ale naopak už když nástroj vymýšlíte. Může se vám například stát, že příležitost nástroj vyhodnotit a něco se tím naučit bude rozhodující při volbě variant. Navíc při návrhu nástroje dokážete ovlivnit praktické provedení a sběr dat tak, abyste dokázali dobře vyhodnotit jeho dopady.</w:t>
      </w:r>
    </w:p>
    <w:p>
      <w:pPr>
        <w:pStyle w:val="BodyText"/>
      </w:pPr>
      <w:r>
        <w:rPr>
          <w:bCs/>
          <w:b/>
        </w:rPr>
        <w:t xml:space="preserve">Nenechte se rozptýlit formálním procesem</w:t>
      </w:r>
    </w:p>
    <w:p>
      <w:pPr>
        <w:pStyle w:val="BodyText"/>
      </w:pPr>
      <w:r>
        <w:t xml:space="preserve">Pokud výsledný návrh potřebujete promítnoud o nějaké formální šablony (např. šablona výzvy v EU fondech), nenechte tuto šablonu strnout vaši pozornost. Mohlo by se vám pak stát, že budete vyplňovat formálně požadované kolonky, ale uteče vám podstata problému. Raději si rozbor problému a popis řešení udělejte podle sebe, abyste měli jasno po věcné stránce. Až pak všechno překlopte do požadované formy.</w:t>
      </w:r>
    </w:p>
    <w:bookmarkEnd w:id="29"/>
    <w:bookmarkStart w:id="38" w:name="vyjasněte-řešený-problém-a-cíle-nástroje"/>
    <w:p>
      <w:pPr>
        <w:pStyle w:val="Heading2"/>
      </w:pPr>
      <w:r>
        <w:t xml:space="preserve">1. Vyjasněte řešený problém a cíle nástroje</w:t>
      </w:r>
    </w:p>
    <w:p>
      <w:pPr>
        <w:pStyle w:val="FirstParagraph"/>
      </w:pPr>
      <w:r>
        <w:t xml:space="preserve">V této části byste si měli ujasnit několik základních věcí:</w:t>
      </w:r>
    </w:p>
    <w:p>
      <w:pPr>
        <w:numPr>
          <w:ilvl w:val="0"/>
          <w:numId w:val="1003"/>
        </w:numPr>
        <w:pStyle w:val="Compact"/>
      </w:pPr>
      <w:r>
        <w:t xml:space="preserve">Jaký problém řešíme?</w:t>
      </w:r>
    </w:p>
    <w:p>
      <w:pPr>
        <w:numPr>
          <w:ilvl w:val="0"/>
          <w:numId w:val="1003"/>
        </w:numPr>
        <w:pStyle w:val="Compact"/>
      </w:pPr>
      <w:r>
        <w:t xml:space="preserve">Opravdu problém existuje tak, jak si myslíme?</w:t>
      </w:r>
    </w:p>
    <w:p>
      <w:pPr>
        <w:numPr>
          <w:ilvl w:val="0"/>
          <w:numId w:val="1003"/>
        </w:numPr>
        <w:pStyle w:val="Compact"/>
      </w:pPr>
      <w:r>
        <w:t xml:space="preserve">Koho se týká? Komu chceme pomoci?</w:t>
      </w:r>
    </w:p>
    <w:p>
      <w:pPr>
        <w:pStyle w:val="FirstParagraph"/>
      </w:pPr>
      <w:r>
        <w:t xml:space="preserve">Všimněte si dvou věcí:</w:t>
      </w:r>
    </w:p>
    <w:p>
      <w:pPr>
        <w:pStyle w:val="BodyText"/>
      </w:pPr>
      <w:r>
        <w:t xml:space="preserve">Zaprvé, naše prvotní představy o tom, co je problém (včetně těch převzatých ze zadání třeba on našich nadřízených) bereme jako vstupní hypotézu k ověření.</w:t>
      </w:r>
    </w:p>
    <w:p>
      <w:pPr>
        <w:pStyle w:val="BodyText"/>
      </w:pPr>
      <w:r>
        <w:t xml:space="preserve">Zadruhé, nikde zatím není řeč o řešení. Např.</w:t>
      </w:r>
      <w:r>
        <w:t xml:space="preserve"> </w:t>
      </w:r>
      <w:r>
        <w:t xml:space="preserve">“</w:t>
      </w:r>
      <w:r>
        <w:t xml:space="preserve">chceme dát firmám peníze na částečné úvazky</w:t>
      </w:r>
      <w:r>
        <w:t xml:space="preserve">”</w:t>
      </w:r>
      <w:r>
        <w:t xml:space="preserve"> </w:t>
      </w:r>
      <w:r>
        <w:t xml:space="preserve">není definice cíle.</w:t>
      </w:r>
    </w:p>
    <w:bookmarkStart w:id="32" w:name="zdroje-dat-a-poznatků"/>
    <w:p>
      <w:pPr>
        <w:pStyle w:val="Heading3"/>
      </w:pPr>
      <w:r>
        <w:t xml:space="preserve">Zdroje dat a poznatků</w:t>
      </w:r>
    </w:p>
    <w:p>
      <w:pPr>
        <w:pStyle w:val="FirstParagraph"/>
      </w:pPr>
      <w:r>
        <w:t xml:space="preserve">Měli byste pracovat s několika různými zdroji poznatků, namátkou:</w:t>
      </w:r>
    </w:p>
    <w:p>
      <w:pPr>
        <w:numPr>
          <w:ilvl w:val="0"/>
          <w:numId w:val="1004"/>
        </w:numPr>
        <w:pStyle w:val="Compact"/>
      </w:pPr>
      <w:r>
        <w:t xml:space="preserve">Statistická data</w:t>
      </w:r>
    </w:p>
    <w:p>
      <w:pPr>
        <w:numPr>
          <w:ilvl w:val="0"/>
          <w:numId w:val="1004"/>
        </w:numPr>
        <w:pStyle w:val="Compact"/>
      </w:pPr>
      <w:r>
        <w:t xml:space="preserve">Administrativní data</w:t>
      </w:r>
    </w:p>
    <w:p>
      <w:pPr>
        <w:numPr>
          <w:ilvl w:val="0"/>
          <w:numId w:val="1004"/>
        </w:numPr>
        <w:pStyle w:val="Compact"/>
      </w:pPr>
      <w:r>
        <w:t xml:space="preserve">Odborné studie</w:t>
      </w:r>
    </w:p>
    <w:p>
      <w:pPr>
        <w:numPr>
          <w:ilvl w:val="0"/>
          <w:numId w:val="1004"/>
        </w:numPr>
        <w:pStyle w:val="Compact"/>
      </w:pPr>
      <w:r>
        <w:t xml:space="preserve">Šedá literatura</w:t>
      </w:r>
    </w:p>
    <w:p>
      <w:pPr>
        <w:numPr>
          <w:ilvl w:val="0"/>
          <w:numId w:val="1004"/>
        </w:numPr>
        <w:pStyle w:val="Compact"/>
      </w:pPr>
      <w:r>
        <w:t xml:space="preserve">Konzultace s experty (akademici, praktici)</w:t>
      </w:r>
    </w:p>
    <w:p>
      <w:pPr>
        <w:numPr>
          <w:ilvl w:val="0"/>
          <w:numId w:val="1004"/>
        </w:numPr>
        <w:pStyle w:val="Compact"/>
      </w:pPr>
      <w:r>
        <w:t xml:space="preserve">Informace od aktérů/cílových skupin, pokud možno včetně systematicky sbíraných kvalitativních dat</w:t>
      </w:r>
    </w:p>
    <w:p>
      <w:pPr>
        <w:pStyle w:val="FirstParagraph"/>
      </w:pPr>
      <w:r>
        <w:t xml:space="preserve">Zkuste zodpovídat následující otázky:</w:t>
      </w:r>
    </w:p>
    <w:p>
      <w:pPr>
        <w:numPr>
          <w:ilvl w:val="0"/>
          <w:numId w:val="1005"/>
        </w:numPr>
        <w:pStyle w:val="Compact"/>
      </w:pPr>
      <w:r>
        <w:t xml:space="preserve">Jaký je stav?</w:t>
      </w:r>
    </w:p>
    <w:p>
      <w:pPr>
        <w:numPr>
          <w:ilvl w:val="0"/>
          <w:numId w:val="1005"/>
        </w:numPr>
        <w:pStyle w:val="Compact"/>
      </w:pPr>
      <w:r>
        <w:t xml:space="preserve">Jak se to mění v čase?</w:t>
      </w:r>
    </w:p>
    <w:p>
      <w:pPr>
        <w:numPr>
          <w:ilvl w:val="0"/>
          <w:numId w:val="1005"/>
        </w:numPr>
        <w:pStyle w:val="Compact"/>
      </w:pPr>
      <w:r>
        <w:t xml:space="preserve">Koho se týká?</w:t>
      </w:r>
    </w:p>
    <w:p>
      <w:pPr>
        <w:numPr>
          <w:ilvl w:val="0"/>
          <w:numId w:val="1005"/>
        </w:numPr>
        <w:pStyle w:val="Compact"/>
      </w:pPr>
      <w:r>
        <w:t xml:space="preserve">Co je jeho příčinou?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0A047"/>
          <w:right w:val="single" w:sz="4" w:space="0" w:color="00A047"/>
          <w:top w:val="single" w:sz="4" w:space="0" w:color="00A047"/>
          <w:bottom w:val="single" w:sz="4" w:space="0" w:color="00A047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ccf1e3" w:val="clear"/>
            <w:tcMar>
              <w:top w:w="92" w:type="dxa"/>
              <w:bottom w:w="92" w:type="dxa"/>
            </w:tcMar>
          </w:tcPr>
          <w:p>
            <w:pPr>
              <w:pStyle w:val="FirstParagraph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30" name="Picture"/>
                  <a:graphic>
                    <a:graphicData uri="http://schemas.openxmlformats.org/drawingml/2006/picture">
                      <pic:pic>
                        <pic:nvPicPr>
                          <pic:cNvPr descr="/tmp/quarto/share/formats/docx/tip.png" id="31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Připravujeme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p>
            <w:pPr>
              <w:pStyle w:val="BodyText"/>
            </w:pPr>
            <w:pPr>
              <w:spacing w:before="16" w:after="16"/>
            </w:pPr>
            <w:r>
              <w:t xml:space="preserve">Pro jednotlivé zdroje dat a typy otázek připravujeme doplnění průvodce o specializované návody.</w:t>
            </w:r>
          </w:p>
        </w:tc>
      </w:tr>
    </w:tbl>
    <w:bookmarkEnd w:id="32"/>
    <w:bookmarkStart w:id="37" w:name="způsoby-práce"/>
    <w:p>
      <w:pPr>
        <w:pStyle w:val="Heading3"/>
      </w:pPr>
      <w:r>
        <w:t xml:space="preserve">Způsoby práce</w:t>
      </w:r>
    </w:p>
    <w:p>
      <w:pPr>
        <w:pStyle w:val="FirstParagraph"/>
      </w:pPr>
      <w:r>
        <w:t xml:space="preserve">V této fázi je důležité – ale také náročné – pracovat tak, abyste se vyznali v informacích, které sesbíráte, a dokázali z nich vyvodit závěry.</w:t>
      </w:r>
    </w:p>
    <w:p>
      <w:pPr>
        <w:pStyle w:val="BodyText"/>
      </w:pPr>
      <w:r>
        <w:t xml:space="preserve">Další praktické tipy najdete v návodu</w:t>
      </w:r>
      <w:r>
        <w:t xml:space="preserve"> </w:t>
      </w:r>
      <w:hyperlink r:id="rId33">
        <w:r>
          <w:rPr>
            <w:rStyle w:val="Hyperlink"/>
          </w:rPr>
          <w:t xml:space="preserve">Řízení společné práce –&gt;</w:t>
        </w:r>
      </w:hyperlink>
    </w:p>
    <w:p>
      <w:pPr>
        <w:pStyle w:val="BodyText"/>
      </w:pPr>
      <w:r>
        <w:t xml:space="preserve">Několik praktických doporučení:</w:t>
      </w:r>
    </w:p>
    <w:p>
      <w:pPr>
        <w:numPr>
          <w:ilvl w:val="0"/>
          <w:numId w:val="1006"/>
        </w:numPr>
        <w:pStyle w:val="Compact"/>
      </w:pPr>
      <w:r>
        <w:t xml:space="preserve">rozdělte jednotlivé otázky do podotázek, třeba podle podproblémů, cílových skupin apod.</w:t>
      </w:r>
    </w:p>
    <w:p>
      <w:pPr>
        <w:numPr>
          <w:ilvl w:val="0"/>
          <w:numId w:val="1006"/>
        </w:numPr>
        <w:pStyle w:val="Compact"/>
      </w:pPr>
      <w:r>
        <w:t xml:space="preserve">pokud vás na úkolu pracuje víc, rozdělte si podotázky mezi sebe</w:t>
      </w:r>
    </w:p>
    <w:p>
      <w:pPr>
        <w:numPr>
          <w:ilvl w:val="0"/>
          <w:numId w:val="1006"/>
        </w:numPr>
        <w:pStyle w:val="Compact"/>
      </w:pPr>
      <w:r>
        <w:t xml:space="preserve">pravidelně se potkávejte na schůzkách, kde si vzájemně vysvětlíte, na co jste přišli</w:t>
      </w:r>
    </w:p>
    <w:p>
      <w:pPr>
        <w:numPr>
          <w:ilvl w:val="0"/>
          <w:numId w:val="1006"/>
        </w:numPr>
        <w:pStyle w:val="Compact"/>
      </w:pPr>
      <w:r>
        <w:t xml:space="preserve">pečlivě udržujte odkazy na všechny zdroje; poznámky, odkazy a shrnutí udržujte ve sdílených dokumentech</w:t>
      </w:r>
    </w:p>
    <w:p>
      <w:pPr>
        <w:numPr>
          <w:ilvl w:val="0"/>
          <w:numId w:val="1006"/>
        </w:numPr>
        <w:pStyle w:val="Compact"/>
      </w:pPr>
      <w:r>
        <w:t xml:space="preserve">v dokumentu a na sdílených schůzkách si vytvořte prostor na zachycování a sdílení těchto typů informací:</w:t>
      </w:r>
    </w:p>
    <w:p>
      <w:pPr>
        <w:numPr>
          <w:ilvl w:val="1"/>
          <w:numId w:val="1007"/>
        </w:numPr>
        <w:pStyle w:val="Compact"/>
      </w:pPr>
      <w:r>
        <w:t xml:space="preserve">co nás překvapilo?</w:t>
      </w:r>
    </w:p>
    <w:p>
      <w:pPr>
        <w:numPr>
          <w:ilvl w:val="1"/>
          <w:numId w:val="1007"/>
        </w:numPr>
        <w:pStyle w:val="Compact"/>
      </w:pPr>
      <w:r>
        <w:t xml:space="preserve">co ještě nevíme?</w:t>
      </w:r>
    </w:p>
    <w:p>
      <w:pPr>
        <w:numPr>
          <w:ilvl w:val="1"/>
          <w:numId w:val="1007"/>
        </w:numPr>
        <w:pStyle w:val="Compact"/>
      </w:pPr>
      <w:r>
        <w:t xml:space="preserve">pomůže nám hledat ještě další informace?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EB9113"/>
          <w:right w:val="single" w:sz="4" w:space="0" w:color="EB9113"/>
          <w:top w:val="single" w:sz="4" w:space="0" w:color="EB9113"/>
          <w:bottom w:val="single" w:sz="4" w:space="0" w:color="EB9113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fcefdc" w:val="clear"/>
            <w:tcMar>
              <w:top w:w="92" w:type="dxa"/>
              <w:bottom w:w="92" w:type="dxa"/>
            </w:tcMar>
          </w:tcPr>
          <w:p>
            <w:pPr>
              <w:pStyle w:val="FirstParagraph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35" name="Picture"/>
                  <a:graphic>
                    <a:graphicData uri="http://schemas.openxmlformats.org/drawingml/2006/picture">
                      <pic:pic>
                        <pic:nvPicPr>
                          <pic:cNvPr descr="/tmp/quarto/share/formats/docx/warning.png" id="36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34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Warning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p>
            <w:pPr>
              <w:pStyle w:val="BodyText"/>
            </w:pPr>
            <w:pPr>
              <w:spacing w:before="16" w:after="16"/>
            </w:pPr>
            <w:r>
              <w:rPr>
                <w:iCs/>
                <w:i/>
              </w:rPr>
              <w:t xml:space="preserve">Kromě koordinace samotného týmu si už od začátku dohodněte způsob spolupráci s vaším</w:t>
            </w:r>
            <w:r>
              <w:rPr>
                <w:iCs/>
                <w:i/>
              </w:rPr>
              <w:t xml:space="preserve"> </w:t>
            </w:r>
            <w:r>
              <w:rPr>
                <w:iCs/>
                <w:i/>
              </w:rPr>
              <w:t xml:space="preserve">“</w:t>
            </w:r>
            <w:r>
              <w:rPr>
                <w:iCs/>
                <w:i/>
              </w:rPr>
              <w:t xml:space="preserve">klientem</w:t>
            </w:r>
            <w:r>
              <w:rPr>
                <w:iCs/>
                <w:i/>
              </w:rPr>
              <w:t xml:space="preserve">”</w:t>
            </w:r>
            <w:r>
              <w:rPr>
                <w:iCs/>
                <w:i/>
              </w:rPr>
              <w:t xml:space="preserve">, tedy tím, kdo se pod výsledek bude muset podepsat. Nejspíš to je někdo v vedení vaší organizace. Pokud jste od něj/ní nedostali zadaní, využijte svůj postup práce tak, abyste se s pomocí vámi vytvořených podkladů a poznatků postupně zadání dobrali.</w:t>
            </w:r>
          </w:p>
        </w:tc>
      </w:tr>
    </w:tbl>
    <w:bookmarkEnd w:id="37"/>
    <w:bookmarkEnd w:id="38"/>
    <w:bookmarkStart w:id="52" w:name="možná-řešení"/>
    <w:p>
      <w:pPr>
        <w:pStyle w:val="Heading2"/>
      </w:pPr>
      <w:r>
        <w:t xml:space="preserve">2. Možná řešení</w:t>
      </w:r>
    </w:p>
    <w:bookmarkStart w:id="46" w:name="rozšiřte-spektrum-řešení"/>
    <w:p>
      <w:pPr>
        <w:pStyle w:val="Heading3"/>
      </w:pPr>
      <w:r>
        <w:t xml:space="preserve">Rozšiřte spektrum řešení</w:t>
      </w:r>
    </w:p>
    <w:p>
      <w:pPr>
        <w:pStyle w:val="FirstParagraph"/>
      </w:pPr>
      <w:r>
        <w:t xml:space="preserve">Abyste se vyhnuli roubování nástroje na předem vymyšlené řešení, rozšiřte spektrum řešení. Pomůže vám, když se zamyslíte nad</w:t>
      </w:r>
    </w:p>
    <w:p>
      <w:pPr>
        <w:pStyle w:val="BodyText"/>
      </w:pPr>
      <w:r>
        <w:rPr>
          <w:bCs/>
          <w:b/>
        </w:rPr>
        <w:t xml:space="preserve">1. různými způsoby, jak měnit chování těch, na které nástrojem cílíme</w:t>
      </w:r>
    </w:p>
    <w:p>
      <w:pPr>
        <w:pStyle w:val="BodyText"/>
      </w:pPr>
      <w:r>
        <w:t xml:space="preserve">Zde pomůže tzv. COM-B model. Ten zjednodušuje lidské chování na tři rozměry: motivaci, zdroje a schopnosti.</w:t>
      </w:r>
    </w:p>
    <w:p>
      <w:pPr>
        <w:pStyle w:val="CaptionedFigure"/>
      </w:pPr>
      <w:r>
        <w:drawing>
          <wp:inline>
            <wp:extent cx="5334000" cy="3596005"/>
            <wp:effectExtent b="0" l="0" r="0" t="0"/>
            <wp:docPr descr="Zdroj: @olejniczakComparingBehavioralAssumptions2020 podle @michieBehaviourChangeWheel2011" title="" id="40" name="Picture"/>
            <a:graphic>
              <a:graphicData uri="http://schemas.openxmlformats.org/drawingml/2006/picture">
                <pic:pic>
                  <pic:nvPicPr>
                    <pic:cNvPr descr="images/com-b-olejniczak.jpeg" id="41" name="Picture"/>
                    <pic:cNvPicPr>
                      <a:picLocks noChangeArrowheads="1" noChangeAspect="1"/>
                    </pic:cNvPicPr>
                  </pic:nvPicPr>
                  <pic:blipFill>
                    <a:blip r:embed="rId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0" cy="3596005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Zdroj:</w:t>
      </w:r>
      <w:r>
        <w:t xml:space="preserve"> </w:t>
      </w:r>
      <w:r>
        <w:t xml:space="preserve">@olejniczakComparingBehavioralAssumptions2020</w:t>
      </w:r>
      <w:r>
        <w:t xml:space="preserve"> </w:t>
      </w:r>
      <w:r>
        <w:t xml:space="preserve">podle</w:t>
      </w:r>
      <w:r>
        <w:t xml:space="preserve"> </w:t>
      </w:r>
      <w:r>
        <w:t xml:space="preserve">@michieBehaviourChangeWheel2011</w:t>
      </w:r>
    </w:p>
    <w:p>
      <w:pPr>
        <w:pStyle w:val="BodyText"/>
      </w:pPr>
      <w:r>
        <w:rPr>
          <w:bCs/>
          <w:b/>
        </w:rPr>
        <w:t xml:space="preserve">2. různými typy veřejněpolitických zásahů</w:t>
      </w:r>
    </w:p>
    <w:p>
      <w:pPr>
        <w:pStyle w:val="BodyText"/>
      </w:pPr>
      <w:r>
        <w:t xml:space="preserve">Možná začínáte u toho, že chcete finančně podpořit nějakou aktivitu. Může ale součástí řešení být i něco jiného, třeba poskytnutí informací, přesvědčování nebo práce se vzory?</w:t>
      </w:r>
    </w:p>
    <w:p>
      <w:pPr>
        <w:pStyle w:val="CaptionedFigure"/>
      </w:pPr>
      <w:r>
        <w:drawing>
          <wp:inline>
            <wp:extent cx="3810000" cy="2540000"/>
            <wp:effectExtent b="0" l="0" r="0" t="0"/>
            <wp:docPr descr="Zdroj: @michieBehaviourChangeWheel2011" title="" id="43" name="Picture"/>
            <a:graphic>
              <a:graphicData uri="http://schemas.openxmlformats.org/drawingml/2006/picture">
                <pic:pic>
                  <pic:nvPicPr>
                    <pic:cNvPr descr="images/behaviour-change-wheel.webp" id="44" name="Picture"/>
                    <pic:cNvPicPr>
                      <a:picLocks noChangeArrowheads="1" noChangeAspect="1"/>
                    </pic:cNvPicPr>
                  </pic:nvPicPr>
                  <pic:blipFill>
                    <a:blip r:embed="rId4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10000" cy="25400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ImageCaption"/>
      </w:pPr>
      <w:r>
        <w:t xml:space="preserve">Zdroj:</w:t>
      </w:r>
      <w:r>
        <w:t xml:space="preserve"> </w:t>
      </w:r>
      <w:r>
        <w:t xml:space="preserve">@michieBehaviourChangeWheel2011</w:t>
      </w:r>
    </w:p>
    <w:p>
      <w:pPr>
        <w:pStyle w:val="BodyText"/>
      </w:pPr>
      <w:r>
        <w:t xml:space="preserve">V této fázi se vám může hodit společný brainstorming, abyste si rozšířili pole možností klidně o nějaké méně realistické. Jejich hodnocení a zvažování může přijít později. Zkuste začít otázkami jako</w:t>
      </w:r>
      <w:r>
        <w:t xml:space="preserve"> </w:t>
      </w:r>
      <w:r>
        <w:t xml:space="preserve">“</w:t>
      </w:r>
      <w:r>
        <w:t xml:space="preserve">Jak bychom mohli pomoct [skupině X], aby [dosáhla Y]</w:t>
      </w:r>
      <w:r>
        <w:t xml:space="preserve">”</w:t>
      </w:r>
      <w:r>
        <w:t xml:space="preserve"> </w:t>
      </w:r>
      <w:r>
        <w:t xml:space="preserve">(tzv.</w:t>
      </w:r>
      <w:r>
        <w:t xml:space="preserve"> </w:t>
      </w:r>
      <w:r>
        <w:rPr>
          <w:iCs/>
          <w:i/>
        </w:rPr>
        <w:t xml:space="preserve">How might we</w:t>
      </w:r>
      <w:r>
        <w:t xml:space="preserve"> </w:t>
      </w:r>
      <w:r>
        <w:t xml:space="preserve">otázka), nebo</w:t>
      </w:r>
      <w:r>
        <w:t xml:space="preserve"> </w:t>
      </w:r>
      <w:r>
        <w:t xml:space="preserve">“</w:t>
      </w:r>
      <w:r>
        <w:t xml:space="preserve">Co kdybychom…</w:t>
      </w:r>
      <w:r>
        <w:t xml:space="preserve">”</w:t>
      </w:r>
    </w:p>
    <w:p>
      <w:pPr>
        <w:pStyle w:val="BodyText"/>
      </w:pPr>
      <w:r>
        <w:t xml:space="preserve">Pro inspiraci mohou pomoct třeba tyto</w:t>
      </w:r>
      <w:r>
        <w:t xml:space="preserve"> </w:t>
      </w:r>
      <w:hyperlink r:id="rId45">
        <w:r>
          <w:rPr>
            <w:rStyle w:val="Hyperlink"/>
          </w:rPr>
          <w:t xml:space="preserve">karty</w:t>
        </w:r>
      </w:hyperlink>
      <w:r>
        <w:t xml:space="preserve">.</w:t>
      </w:r>
    </w:p>
    <w:bookmarkEnd w:id="46"/>
    <w:bookmarkStart w:id="48" w:name="sesbírejte-inspirace"/>
    <w:p>
      <w:pPr>
        <w:pStyle w:val="Heading3"/>
      </w:pPr>
      <w:r>
        <w:t xml:space="preserve">Sesbírejte inspirace</w:t>
      </w:r>
    </w:p>
    <w:p>
      <w:pPr>
        <w:pStyle w:val="FirstParagraph"/>
      </w:pPr>
      <w:r>
        <w:t xml:space="preserve">Předchozí krok by vám měl dat nápady, kde a jak hledat – zkuste tedy najít nějaké skutečné příklady využití podobného řešení u podobného problémy.</w:t>
      </w:r>
    </w:p>
    <w:p>
      <w:pPr>
        <w:pStyle w:val="BodyText"/>
      </w:pPr>
      <w:r>
        <w:t xml:space="preserve">Pomůže šedá i akademická literatura, clearing houses; k některým tématům existují v některých zemích přímo dedikované instituce, které poznatky syntetizují, např. britské</w:t>
      </w:r>
      <w:r>
        <w:t xml:space="preserve"> </w:t>
      </w:r>
      <w:hyperlink r:id="rId47">
        <w:r>
          <w:rPr>
            <w:rStyle w:val="Hyperlink"/>
          </w:rPr>
          <w:t xml:space="preserve">What Works Centers</w:t>
        </w:r>
      </w:hyperlink>
      <w:r>
        <w:t xml:space="preserve">.</w:t>
      </w:r>
    </w:p>
    <w:bookmarkEnd w:id="48"/>
    <w:bookmarkStart w:id="51" w:name="zvažte-co-může-fungovat"/>
    <w:p>
      <w:pPr>
        <w:pStyle w:val="Heading3"/>
      </w:pPr>
      <w:r>
        <w:t xml:space="preserve">Zvažte, co může fungovat</w:t>
      </w:r>
    </w:p>
    <w:p>
      <w:pPr>
        <w:pStyle w:val="FirstParagraph"/>
      </w:pPr>
      <w:r>
        <w:t xml:space="preserve">Zde byste se měli spolehnout hlavně na dostupnou literaturu, od té akademické po evaluace.</w:t>
      </w:r>
    </w:p>
    <w:p>
      <w:pPr>
        <w:pStyle w:val="BodyText"/>
      </w:pPr>
      <w:r>
        <w:t xml:space="preserve">Pokud součástí nástroje je více intervencí, nebo se snažíte ovlivnit chování více různých aktérů a tím dosáhnout nějaké změny, měli byste mít jasno v tom, jak bude celá věc fungovat.</w:t>
      </w:r>
    </w:p>
    <w:p>
      <w:pPr>
        <w:pStyle w:val="BodyText"/>
      </w:pPr>
      <w:r>
        <w:t xml:space="preserve">Tomu se říká teorie změny: lze ji zpracovat třeba formou diagramu, kde nakreslíte vztahy mezi vašimi intervencemi a jejich adresáty a pokusíte se od intervence dopracovat ke kýžené změně. Každá šipka by za sebou měla mít nějaké poznatky – něco, co podloží váš předpoklad, že k takové změně dojde na základě vaší intervence.</w:t>
      </w:r>
    </w:p>
    <w:tbl>
      <w:tblPr>
        <w:tblStyle w:val="Table"/>
        <w:tblLook w:firstRow="0" w:lastRow="0" w:firstColumn="0" w:lastColumn="0" w:noHBand="0" w:noVBand="0" w:val="0000"/>
        <w:tblBorders>
          <w:left w:val="single" w:sz="24" w:space="0" w:color="00A047"/>
          <w:right w:val="single" w:sz="4" w:space="0" w:color="00A047"/>
          <w:top w:val="single" w:sz="4" w:space="0" w:color="00A047"/>
          <w:bottom w:val="single" w:sz="4" w:space="0" w:color="00A047"/>
        </w:tblBorders>
        <w:tblCellMar>
          <w:left w:w="144" w:type="dxa"/>
          <w:right w:w="144" w:type="dxa"/>
        </w:tblCellMar>
        <w:tblInd w:w="164" w:type="dxa"/>
        <w:tblW w:type="pct" w:w="100%"/>
      </w:tblPr>
      <w:tr>
        <w:trPr>
          <w:cantSplit/>
        </w:trPr>
        <w:tc>
          <w:tcPr>
            <w:shd w:color="auto" w:fill="ccf1e3" w:val="clear"/>
            <w:tcMar>
              <w:top w:w="92" w:type="dxa"/>
              <w:bottom w:w="92" w:type="dxa"/>
            </w:tcMar>
          </w:tcPr>
          <w:p>
            <w:pPr>
              <w:pStyle w:val="BodyText"/>
            </w:pPr>
            <w:pPr>
              <w:spacing w:before="0" w:after="0"/>
              <w:textAlignment w:val="center"/>
            </w:pPr>
            <w:r>
              <w:drawing>
                <wp:inline>
                  <wp:extent cx="152400" cy="152400"/>
                  <wp:effectExtent b="0" l="0" r="0" t="0"/>
                  <wp:docPr descr="" title="" id="49" name="Picture"/>
                  <a:graphic>
                    <a:graphicData uri="http://schemas.openxmlformats.org/drawingml/2006/picture">
                      <pic:pic>
                        <pic:nvPicPr>
                          <pic:cNvPr descr="/tmp/quarto/share/formats/docx/tip.png" id="50" name="Picture"/>
                          <pic:cNvPicPr>
                            <a:picLocks noChangeArrowheads="1" noChangeAspect="1"/>
                          </pic:cNvPicPr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524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</w:t>
            </w:r>
            <w:r>
              <w:t xml:space="preserve"> </w:t>
            </w:r>
            <w:r>
              <w:t xml:space="preserve">Připravujeme</w:t>
            </w:r>
          </w:p>
        </w:tc>
      </w:tr>
      <w:tr>
        <w:trPr>
          <w:cantSplit/>
        </w:trPr>
        <w:tc>
          <w:tcPr>
            <w:tcMar>
              <w:top w:w="108" w:type="dxa"/>
              <w:bottom w:w="108" w:type="dxa"/>
            </w:tcMar>
          </w:tcPr>
          <w:p>
            <w:pPr>
              <w:pStyle w:val="BodyText"/>
            </w:pPr>
            <w:pPr>
              <w:spacing w:before="16" w:after="16"/>
            </w:pPr>
            <w:r>
              <w:t xml:space="preserve">Pro práci na rešerši zdrojů připravujeme doplnění průvodce o specializový návo.</w:t>
            </w:r>
          </w:p>
        </w:tc>
      </w:tr>
    </w:tbl>
    <w:bookmarkEnd w:id="51"/>
    <w:bookmarkEnd w:id="52"/>
    <w:bookmarkStart w:id="54" w:name="výběr-a-zdůvodnění-řešení"/>
    <w:p>
      <w:pPr>
        <w:pStyle w:val="Heading2"/>
      </w:pPr>
      <w:r>
        <w:t xml:space="preserve">3. Výběr a zdůvodnění řešení</w:t>
      </w:r>
    </w:p>
    <w:p>
      <w:pPr>
        <w:pStyle w:val="FirstParagraph"/>
      </w:pPr>
      <w:r>
        <w:t xml:space="preserve">Zde se dostáváme do komplikované fáze. Každé možné řešení má své pro a proti a každé s sebou může stát na jiných hodnotách.</w:t>
      </w:r>
    </w:p>
    <w:p>
      <w:pPr>
        <w:pStyle w:val="BodyText"/>
      </w:pPr>
      <w:r>
        <w:t xml:space="preserve">Často vám může posloužit i logika cost-benefit analýzy (CBA), tedy postupu, díky kterému můžete</w:t>
      </w:r>
      <w:r>
        <w:t xml:space="preserve"> </w:t>
      </w:r>
      <w:r>
        <w:t xml:space="preserve">“</w:t>
      </w:r>
      <w:r>
        <w:t xml:space="preserve">nacenit</w:t>
      </w:r>
      <w:r>
        <w:t xml:space="preserve">”</w:t>
      </w:r>
      <w:r>
        <w:t xml:space="preserve"> </w:t>
      </w:r>
      <w:r>
        <w:t xml:space="preserve">náklady a přínosy navrhované intervence nebo jejích variant. Díky tomu můžete varianty porovnat nebo alespoň odhadnout, zda celé řešení bude celospolečensky výhodnější než stávající stav (nulová varianta). Ke cost-benefit analýze je k dispozici metodika od Českých priorit</w:t>
      </w:r>
      <w:r>
        <w:t xml:space="preserve"> </w:t>
      </w:r>
      <w:r>
        <w:t xml:space="preserve">[@zapletalovaPruvodceAnalyzouNakladu2019]</w:t>
      </w:r>
      <w:r>
        <w:t xml:space="preserve">, stejně jako návody např.</w:t>
      </w:r>
      <w:r>
        <w:t xml:space="preserve"> </w:t>
      </w:r>
      <w:hyperlink r:id="rId53">
        <w:r>
          <w:rPr>
            <w:rStyle w:val="Hyperlink"/>
          </w:rPr>
          <w:t xml:space="preserve">v Better Regulation Toolbox EK</w:t>
        </w:r>
      </w:hyperlink>
      <w:r>
        <w:t xml:space="preserve">.</w:t>
      </w:r>
    </w:p>
    <w:bookmarkEnd w:id="54"/>
    <w:bookmarkStart w:id="55" w:name="příprava-budoucí-evaluace"/>
    <w:p>
      <w:pPr>
        <w:pStyle w:val="Heading2"/>
      </w:pPr>
      <w:r>
        <w:t xml:space="preserve">4. Příprava budoucí evaluace</w:t>
      </w:r>
    </w:p>
    <w:p>
      <w:pPr>
        <w:pStyle w:val="FirstParagraph"/>
      </w:pPr>
      <w:r>
        <w:t xml:space="preserve">Zde není ideální prostor pro úplný úvod do tématu evaluací veřejných politik, tak jen několik základních rad na začátek:</w:t>
      </w:r>
    </w:p>
    <w:p>
      <w:pPr>
        <w:numPr>
          <w:ilvl w:val="0"/>
          <w:numId w:val="1008"/>
        </w:numPr>
        <w:pStyle w:val="Compact"/>
      </w:pPr>
      <w:r>
        <w:t xml:space="preserve">Zamyslete se, co by bylo potřeba za data a výzkumné kroky, abyste zjistili, jestli váš nástroj funguje tak, jak si představujete.</w:t>
      </w:r>
    </w:p>
    <w:p>
      <w:pPr>
        <w:numPr>
          <w:ilvl w:val="1"/>
          <w:numId w:val="1009"/>
        </w:numPr>
      </w:pPr>
      <w:r>
        <w:t xml:space="preserve">na jaké konkrétní otázky byste potřebovali odpověď?</w:t>
      </w:r>
    </w:p>
    <w:p>
      <w:pPr>
        <w:numPr>
          <w:ilvl w:val="1"/>
          <w:numId w:val="1009"/>
        </w:numPr>
      </w:pPr>
      <w:r>
        <w:t xml:space="preserve">jaká data by bylo potřeba mít nebo sbírat, abyste na tyto otázky dokázali odpovědět?</w:t>
      </w:r>
    </w:p>
    <w:p>
      <w:pPr>
        <w:numPr>
          <w:ilvl w:val="0"/>
          <w:numId w:val="1008"/>
        </w:numPr>
        <w:pStyle w:val="Compact"/>
      </w:pPr>
      <w:r>
        <w:t xml:space="preserve">Pokud se otázky v bodě 1 podobají větě</w:t>
      </w:r>
      <w:r>
        <w:t xml:space="preserve"> </w:t>
      </w:r>
      <w:r>
        <w:t xml:space="preserve">“</w:t>
      </w:r>
      <w:r>
        <w:t xml:space="preserve">chceme vědět, jestli to funguje</w:t>
      </w:r>
      <w:r>
        <w:t xml:space="preserve">”</w:t>
      </w:r>
      <w:r>
        <w:t xml:space="preserve">, udělejte krok zpět a zkuste si ujasnit, co to znamená</w:t>
      </w:r>
      <w:r>
        <w:t xml:space="preserve"> </w:t>
      </w:r>
      <w:r>
        <w:t xml:space="preserve">“</w:t>
      </w:r>
      <w:r>
        <w:t xml:space="preserve">to</w:t>
      </w:r>
      <w:r>
        <w:t xml:space="preserve">”</w:t>
      </w:r>
      <w:r>
        <w:t xml:space="preserve"> </w:t>
      </w:r>
      <w:r>
        <w:t xml:space="preserve">a co to znamená</w:t>
      </w:r>
      <w:r>
        <w:t xml:space="preserve"> </w:t>
      </w:r>
      <w:r>
        <w:t xml:space="preserve">“</w:t>
      </w:r>
      <w:r>
        <w:t xml:space="preserve">funguje</w:t>
      </w:r>
      <w:r>
        <w:t xml:space="preserve">”</w:t>
      </w:r>
      <w:r>
        <w:t xml:space="preserve">. Jde vám o způsoby implementace, nebo o změnu nějakého výsledného stavu? A pokud nemáte jasno v tom, co je to</w:t>
      </w:r>
      <w:r>
        <w:t xml:space="preserve"> </w:t>
      </w:r>
      <w:r>
        <w:t xml:space="preserve">“</w:t>
      </w:r>
      <w:r>
        <w:t xml:space="preserve">to</w:t>
      </w:r>
      <w:r>
        <w:t xml:space="preserve">”</w:t>
      </w:r>
      <w:r>
        <w:t xml:space="preserve">, možná bude potřeba se vrátit na začátek (celého procesu).</w:t>
      </w:r>
    </w:p>
    <w:p>
      <w:pPr>
        <w:numPr>
          <w:ilvl w:val="0"/>
          <w:numId w:val="1008"/>
        </w:numPr>
        <w:pStyle w:val="Compact"/>
      </w:pPr>
      <w:r>
        <w:t xml:space="preserve">Pokud v předchozích krocích nepadla žádná otázka, která by se podobala</w:t>
      </w:r>
      <w:r>
        <w:t xml:space="preserve"> </w:t>
      </w:r>
      <w:r>
        <w:t xml:space="preserve">“</w:t>
      </w:r>
      <w:r>
        <w:t xml:space="preserve">chceme vědět, jak reálně probíhá implementace v terénu</w:t>
      </w:r>
      <w:r>
        <w:t xml:space="preserve">”</w:t>
      </w:r>
      <w:r>
        <w:t xml:space="preserve">, zamyslete se, jestli by vám nepomohlo na tuto otázku znát odpověď před tím, než začnete evaluačně pátrat po výsledcích a dopadech.</w:t>
      </w:r>
    </w:p>
    <w:p>
      <w:pPr>
        <w:numPr>
          <w:ilvl w:val="0"/>
          <w:numId w:val="1008"/>
        </w:numPr>
        <w:pStyle w:val="Compact"/>
      </w:pPr>
      <w:r>
        <w:t xml:space="preserve">Pokud jste v předchozích krocích nenašli jasné, evidence-informed řešení vašeho problému, které už někdo otestoval v podobném prostředí, zřejmě vás nebude zajímat jen odpověď na otázku</w:t>
      </w:r>
      <w:r>
        <w:t xml:space="preserve"> </w:t>
      </w:r>
      <w:r>
        <w:t xml:space="preserve">“</w:t>
      </w:r>
      <w:r>
        <w:t xml:space="preserve">jestli to funguje</w:t>
      </w:r>
      <w:r>
        <w:t xml:space="preserve">”</w:t>
      </w:r>
      <w:r>
        <w:t xml:space="preserve"> </w:t>
      </w:r>
      <w:r>
        <w:t xml:space="preserve">a</w:t>
      </w:r>
      <w:r>
        <w:t xml:space="preserve"> </w:t>
      </w:r>
      <w:r>
        <w:t xml:space="preserve">“</w:t>
      </w:r>
      <w:r>
        <w:t xml:space="preserve">jak moc jsme pomohli cílové skupině</w:t>
      </w:r>
      <w:r>
        <w:t xml:space="preserve">”</w:t>
      </w:r>
      <w:r>
        <w:t xml:space="preserve"> </w:t>
      </w:r>
      <w:r>
        <w:t xml:space="preserve">či</w:t>
      </w:r>
      <w:r>
        <w:t xml:space="preserve"> </w:t>
      </w:r>
      <w:r>
        <w:t xml:space="preserve">“</w:t>
      </w:r>
      <w:r>
        <w:t xml:space="preserve">o kolik jsme díky intervenci posunuli s výsledkovou proměnnou X</w:t>
      </w:r>
      <w:r>
        <w:t xml:space="preserve">”</w:t>
      </w:r>
      <w:r>
        <w:t xml:space="preserve">, ale také *jak* to vlastně ve skutečnosti funguje – jinými slovy, pokud vytváříte něco inovativního nebo něco přenášíte do nového prostředí, měly by vás zajímat nejen dopady, ale také mechanismy.</w:t>
      </w:r>
    </w:p>
    <w:bookmarkEnd w:id="55"/>
    <w:bookmarkStart w:id="56" w:name="Xba181cb87018393996bc0a14e50fcd4b2c31549"/>
    <w:p>
      <w:pPr>
        <w:pStyle w:val="Heading2"/>
      </w:pPr>
      <w:r>
        <w:t xml:space="preserve">V čem může pomoci účast externích spolupracovníků?</w:t>
      </w:r>
    </w:p>
    <w:p>
      <w:pPr>
        <w:numPr>
          <w:ilvl w:val="0"/>
          <w:numId w:val="1010"/>
        </w:numPr>
        <w:pStyle w:val="Compact"/>
      </w:pPr>
      <w:r>
        <w:t xml:space="preserve">Moderace a facilitace interních workshopů k problematice</w:t>
      </w:r>
    </w:p>
    <w:p>
      <w:pPr>
        <w:numPr>
          <w:ilvl w:val="0"/>
          <w:numId w:val="1010"/>
        </w:numPr>
        <w:pStyle w:val="Compact"/>
      </w:pPr>
      <w:r>
        <w:t xml:space="preserve">Strukturování nápadů a debat</w:t>
      </w:r>
    </w:p>
    <w:p>
      <w:pPr>
        <w:numPr>
          <w:ilvl w:val="0"/>
          <w:numId w:val="1010"/>
        </w:numPr>
        <w:pStyle w:val="Compact"/>
      </w:pPr>
      <w:r>
        <w:t xml:space="preserve">Feedback na drafty jednotlivých dokumentů</w:t>
      </w:r>
    </w:p>
    <w:p>
      <w:pPr>
        <w:pStyle w:val="FirstParagraph"/>
      </w:pPr>
      <w:r>
        <w:t xml:space="preserve">Pokud je tento proces pro vás nový, externí hlas vás může efektivně vracet k řešení problému, pokud od něj předčasně utečete k hledání řešení, a může vám pomoct identifikovat nejasnosti v cílech a zaměření. Stejně tak vás může pobízet k větší představivosti při generování možných řešení, nebo naopak hrát roli ďáblova advokáta.</w:t>
      </w:r>
    </w:p>
    <w:p>
      <w:pPr>
        <w:pStyle w:val="BodyText"/>
      </w:pPr>
      <w:r>
        <w:t xml:space="preserve">Nemusí jít o experty na dané téma, ale je vhodné mít k sobě někoho, kdo je zvyklý uvažovat o veřejných politikách.</w:t>
      </w:r>
    </w:p>
    <w:bookmarkEnd w:id="56"/>
    <w:bookmarkEnd w:id="57"/>
    <w:bookmarkStart w:id="58" w:name="tipy-a-triky"/>
    <w:p>
      <w:pPr>
        <w:pStyle w:val="Heading1"/>
      </w:pPr>
      <w:r>
        <w:t xml:space="preserve">Tipy a triky</w:t>
      </w:r>
    </w:p>
    <w:p>
      <w:pPr>
        <w:numPr>
          <w:ilvl w:val="0"/>
          <w:numId w:val="1011"/>
        </w:numPr>
        <w:pStyle w:val="Compact"/>
      </w:pPr>
      <w:r>
        <w:t xml:space="preserve">Zkušenosti ukazují, že je důležité přípravu intervenční logiky nepodcenit, jelikož se pak propisuje do všech dalších kroků</w:t>
      </w:r>
    </w:p>
    <w:p>
      <w:pPr>
        <w:numPr>
          <w:ilvl w:val="0"/>
          <w:numId w:val="1011"/>
        </w:numPr>
        <w:pStyle w:val="Compact"/>
      </w:pPr>
      <w:r>
        <w:t xml:space="preserve">Záměr nástroje je nápomocný v definici celkové problematiky a jejího vyjasnění si uvnitř týmu</w:t>
      </w:r>
    </w:p>
    <w:p>
      <w:pPr>
        <w:numPr>
          <w:ilvl w:val="0"/>
          <w:numId w:val="1011"/>
        </w:numPr>
        <w:pStyle w:val="Compact"/>
      </w:pPr>
      <w:r>
        <w:t xml:space="preserve">Stejně tak evaluaci nástroje je nutné řešit již v průběhu formulace, aby bylo možné do designu nástroje zanést evaluační mechanismy</w:t>
      </w:r>
    </w:p>
    <w:p>
      <w:pPr>
        <w:numPr>
          <w:ilvl w:val="0"/>
          <w:numId w:val="1011"/>
        </w:numPr>
        <w:pStyle w:val="Compact"/>
      </w:pPr>
      <w:r>
        <w:t xml:space="preserve">Kolektivní brainstorming a připomínkování</w:t>
      </w:r>
    </w:p>
    <w:p>
      <w:pPr>
        <w:numPr>
          <w:ilvl w:val="0"/>
          <w:numId w:val="1011"/>
        </w:numPr>
        <w:pStyle w:val="Compact"/>
      </w:pPr>
      <w:r>
        <w:t xml:space="preserve">Vhodná je přítomnost někoho externího, pokud existuje ta možnost</w:t>
      </w:r>
    </w:p>
    <w:bookmarkEnd w:id="58"/>
    <w:bookmarkStart w:id="81" w:name="další-zdroje"/>
    <w:p>
      <w:pPr>
        <w:pStyle w:val="Heading1"/>
      </w:pPr>
      <w:r>
        <w:t xml:space="preserve">Další zdroje</w:t>
      </w:r>
    </w:p>
    <w:bookmarkStart w:id="61" w:name="rámce-pro-tvorbu-opatření-a-strategií"/>
    <w:p>
      <w:pPr>
        <w:pStyle w:val="Heading2"/>
      </w:pPr>
      <w:r>
        <w:t xml:space="preserve">Rámce pro tvorbu opatření a strategií</w:t>
      </w:r>
    </w:p>
    <w:p>
      <w:pPr>
        <w:pStyle w:val="FirstParagraph"/>
      </w:pPr>
      <w:r>
        <w:t xml:space="preserve">Jako zásobník metod a postupů pro jednotlivé fáze úkolů můžete použit třeba tyto toolboxy:</w:t>
      </w:r>
    </w:p>
    <w:p>
      <w:pPr>
        <w:numPr>
          <w:ilvl w:val="0"/>
          <w:numId w:val="1012"/>
        </w:numPr>
        <w:pStyle w:val="Compact"/>
      </w:pPr>
      <w:hyperlink r:id="rId59">
        <w:r>
          <w:rPr>
            <w:rStyle w:val="Hyperlink"/>
          </w:rPr>
          <w:t xml:space="preserve">Better Regulation Toolbox</w:t>
        </w:r>
      </w:hyperlink>
      <w:r>
        <w:t xml:space="preserve"> </w:t>
      </w:r>
      <w:r>
        <w:t xml:space="preserve">(Evropská komise)</w:t>
      </w:r>
    </w:p>
    <w:p>
      <w:pPr>
        <w:numPr>
          <w:ilvl w:val="0"/>
          <w:numId w:val="1012"/>
        </w:numPr>
        <w:pStyle w:val="Compact"/>
      </w:pPr>
      <w:hyperlink r:id="rId60">
        <w:r>
          <w:rPr>
            <w:rStyle w:val="Hyperlink"/>
          </w:rPr>
          <w:t xml:space="preserve">Policy Methods Toolbox</w:t>
        </w:r>
      </w:hyperlink>
      <w:r>
        <w:t xml:space="preserve"> </w:t>
      </w:r>
      <w:r>
        <w:t xml:space="preserve">(Novozélandská státní správa)</w:t>
      </w:r>
    </w:p>
    <w:bookmarkEnd w:id="61"/>
    <w:bookmarkStart w:id="62" w:name="nástroje-pro-inspiraci-a-sebehodnocení"/>
    <w:p>
      <w:pPr>
        <w:pStyle w:val="Heading2"/>
      </w:pPr>
      <w:r>
        <w:t xml:space="preserve">Nástroje pro inspiraci a sebehodnocení</w:t>
      </w:r>
    </w:p>
    <w:p>
      <w:pPr>
        <w:pStyle w:val="FirstParagraph"/>
      </w:pPr>
      <w:r>
        <w:t xml:space="preserve">Alternativní schéma typů veřejněpolitických intervencí nabízí</w:t>
      </w:r>
      <w:r>
        <w:t xml:space="preserve"> </w:t>
      </w:r>
      <w:r>
        <w:t xml:space="preserve">@olejniczakComparingBehavioralAssumptions2020</w:t>
      </w:r>
      <w:r>
        <w:t xml:space="preserve">. Původní schéma tzv. Behaviour Change Wheel najdete v</w:t>
      </w:r>
      <w:r>
        <w:t xml:space="preserve"> </w:t>
      </w:r>
      <w:r>
        <w:t xml:space="preserve">@michieBehaviourChangeWheel2011</w:t>
      </w:r>
      <w:r>
        <w:t xml:space="preserve">.</w:t>
      </w:r>
    </w:p>
    <w:p>
      <w:pPr>
        <w:pStyle w:val="BodyText"/>
      </w:pPr>
      <w:r>
        <w:t xml:space="preserve">Jedním ze základních požadavků na návrhy veřejných politik je tzv. transparentost využitých poznatků. Pokud se chcete podívat, jak hodnotit to, jestli je z návrhu jasné, jaké podklady pro něj byly využity a jak se došlo k vásledku, podívejte se na tzv. Evidence Transparency Framework</w:t>
      </w:r>
      <w:r>
        <w:t xml:space="preserve"> </w:t>
      </w:r>
      <w:r>
        <w:t xml:space="preserve">[@rutterEvidenceTransparencyFramework2015]</w:t>
      </w:r>
      <w:r>
        <w:t xml:space="preserve"> </w:t>
      </w:r>
      <w:r>
        <w:t xml:space="preserve">– a rovnou můžete hodnocení podrobit i vlastní práci.</w:t>
      </w:r>
    </w:p>
    <w:bookmarkEnd w:id="62"/>
    <w:bookmarkStart w:id="64" w:name="modelování-a-kvantifikace"/>
    <w:p>
      <w:pPr>
        <w:pStyle w:val="Heading2"/>
      </w:pPr>
      <w:r>
        <w:t xml:space="preserve">Modelování a kvantifikace</w:t>
      </w:r>
    </w:p>
    <w:p>
      <w:pPr>
        <w:pStyle w:val="FirstParagraph"/>
      </w:pPr>
      <w:r>
        <w:t xml:space="preserve">Kromě výše uvdedených toolboxů existují i metodiky specializované na modelování a kvantifikaci veřejných politik. V českém prostředí lze využít</w:t>
      </w:r>
      <w:r>
        <w:t xml:space="preserve"> </w:t>
      </w:r>
      <w:r>
        <w:t xml:space="preserve">@zapletalovaPruvodceAnalyzouNakladu2019</w:t>
      </w:r>
      <w:r>
        <w:t xml:space="preserve">, komplexní metodika britské státní správy se jmenuje</w:t>
      </w:r>
      <w:r>
        <w:t xml:space="preserve"> </w:t>
      </w:r>
      <w:hyperlink r:id="rId63">
        <w:r>
          <w:rPr>
            <w:rStyle w:val="Hyperlink"/>
          </w:rPr>
          <w:t xml:space="preserve">Green Book</w:t>
        </w:r>
      </w:hyperlink>
      <w:r>
        <w:t xml:space="preserve">.</w:t>
      </w:r>
    </w:p>
    <w:bookmarkEnd w:id="64"/>
    <w:bookmarkStart w:id="70" w:name="inovace-a-rozšíření"/>
    <w:p>
      <w:pPr>
        <w:pStyle w:val="Heading2"/>
      </w:pPr>
      <w:r>
        <w:t xml:space="preserve">Inovace a rozšíření</w:t>
      </w:r>
    </w:p>
    <w:p>
      <w:pPr>
        <w:pStyle w:val="FirstParagraph"/>
      </w:pPr>
      <w:r>
        <w:t xml:space="preserve">Inovativních přístupů k tvorbě politik je spousta – zde je několik zdrojů, které pochází od praktiků a můžete si z nich vybrat dílčí postupy a nápady.</w:t>
      </w:r>
    </w:p>
    <w:p>
      <w:pPr>
        <w:numPr>
          <w:ilvl w:val="0"/>
          <w:numId w:val="1013"/>
        </w:numPr>
      </w:pPr>
      <w:r>
        <w:t xml:space="preserve">Postupy z oblasti tzv. Design Thinking, např. využijte nástroje ze sady</w:t>
      </w:r>
      <w:r>
        <w:t xml:space="preserve"> </w:t>
      </w:r>
      <w:hyperlink r:id="rId65">
        <w:r>
          <w:rPr>
            <w:rStyle w:val="Hyperlink"/>
          </w:rPr>
          <w:t xml:space="preserve">100 metod</w:t>
        </w:r>
      </w:hyperlink>
      <w:r>
        <w:t xml:space="preserve"> </w:t>
      </w:r>
      <w:r>
        <w:t xml:space="preserve">nebo karty a metody</w:t>
      </w:r>
      <w:r>
        <w:t xml:space="preserve"> </w:t>
      </w:r>
      <w:hyperlink r:id="rId66">
        <w:r>
          <w:rPr>
            <w:rStyle w:val="Hyperlink"/>
          </w:rPr>
          <w:t xml:space="preserve">Libdesign</w:t>
        </w:r>
      </w:hyperlink>
    </w:p>
    <w:p>
      <w:pPr>
        <w:numPr>
          <w:ilvl w:val="0"/>
          <w:numId w:val="1013"/>
        </w:numPr>
      </w:pPr>
      <w:r>
        <w:t xml:space="preserve">Metody z oblasti tzv. open policy making, viz</w:t>
      </w:r>
      <w:r>
        <w:t xml:space="preserve"> </w:t>
      </w:r>
      <w:hyperlink r:id="rId67">
        <w:r>
          <w:rPr>
            <w:rStyle w:val="Hyperlink"/>
          </w:rPr>
          <w:t xml:space="preserve">Open Policy Making Toolkit</w:t>
        </w:r>
      </w:hyperlink>
      <w:r>
        <w:t xml:space="preserve">, z nich např.</w:t>
      </w:r>
      <w:r>
        <w:t xml:space="preserve"> </w:t>
      </w:r>
      <w:hyperlink r:id="rId68">
        <w:r>
          <w:rPr>
            <w:rStyle w:val="Hyperlink"/>
          </w:rPr>
          <w:t xml:space="preserve">Change Cards</w:t>
        </w:r>
      </w:hyperlink>
    </w:p>
    <w:p>
      <w:pPr>
        <w:numPr>
          <w:ilvl w:val="0"/>
          <w:numId w:val="1013"/>
        </w:numPr>
      </w:pPr>
      <w:r>
        <w:t xml:space="preserve">Experimentální metody:</w:t>
      </w:r>
      <w:r>
        <w:t xml:space="preserve"> </w:t>
      </w:r>
      <w:hyperlink r:id="rId69">
        <w:r>
          <w:rPr>
            <w:rStyle w:val="Hyperlink"/>
          </w:rPr>
          <w:t xml:space="preserve">Experimental Policy Design Methods</w:t>
        </w:r>
      </w:hyperlink>
    </w:p>
    <w:bookmarkEnd w:id="70"/>
    <w:bookmarkStart w:id="76" w:name="k-zamyšlení"/>
    <w:p>
      <w:pPr>
        <w:pStyle w:val="Heading2"/>
      </w:pPr>
      <w:r>
        <w:t xml:space="preserve">K zamyšlení</w:t>
      </w:r>
    </w:p>
    <w:p>
      <w:pPr>
        <w:pStyle w:val="FirstParagraph"/>
      </w:pPr>
      <w:r>
        <w:t xml:space="preserve">Pár poznámek na příbuzná témata najdete v našich</w:t>
      </w:r>
      <w:r>
        <w:t xml:space="preserve"> </w:t>
      </w:r>
      <w:hyperlink r:id="rId71">
        <w:r>
          <w:rPr>
            <w:rStyle w:val="Hyperlink"/>
          </w:rPr>
          <w:t xml:space="preserve">vzkazech pro týmy</w:t>
        </w:r>
      </w:hyperlink>
      <w:r>
        <w:t xml:space="preserve">.</w:t>
      </w:r>
    </w:p>
    <w:p>
      <w:pPr>
        <w:pStyle w:val="BodyText"/>
      </w:pPr>
      <w:r>
        <w:t xml:space="preserve">Při vyhodnocnování studií a vstupů pro vaši práci se může hodit příručka</w:t>
      </w:r>
      <w:r>
        <w:t xml:space="preserve"> </w:t>
      </w:r>
      <w:r>
        <w:rPr>
          <w:iCs/>
          <w:i/>
        </w:rPr>
        <w:t xml:space="preserve">Using Research Evidence: A Proactice Guide</w:t>
      </w:r>
      <w:r>
        <w:t xml:space="preserve"> </w:t>
      </w:r>
      <w:r>
        <w:t xml:space="preserve">[@breckonUsingResearchEvidence2015]</w:t>
      </w:r>
      <w:r>
        <w:t xml:space="preserve">.</w:t>
      </w:r>
    </w:p>
    <w:p>
      <w:pPr>
        <w:pStyle w:val="BodyText"/>
      </w:pPr>
      <w:r>
        <w:t xml:space="preserve">Pokud byste se rádi zamysleli nad tím, jaké druhy poznatků jsou vhodné a dostatečné pro vaši práci, začtěte se do studie</w:t>
      </w:r>
      <w:r>
        <w:t xml:space="preserve"> </w:t>
      </w:r>
      <w:r>
        <w:rPr>
          <w:iCs/>
          <w:i/>
        </w:rPr>
        <w:t xml:space="preserve">What Counts as Good Evidence?</w:t>
      </w:r>
      <w:r>
        <w:t xml:space="preserve"> </w:t>
      </w:r>
      <w:r>
        <w:t xml:space="preserve">[@nutleyWhatCountsGood2013]</w:t>
      </w:r>
      <w:r>
        <w:t xml:space="preserve">.</w:t>
      </w:r>
    </w:p>
    <w:p>
      <w:pPr>
        <w:pStyle w:val="BodyText"/>
      </w:pPr>
      <w:r>
        <w:t xml:space="preserve">Že proces tvorby politik není vždy úhledný a přímočarý – a jak to tedy vypadá v praxi, konkrétně té brtiské, popisuje publikace</w:t>
      </w:r>
      <w:r>
        <w:t xml:space="preserve"> </w:t>
      </w:r>
      <w:r>
        <w:rPr>
          <w:iCs/>
          <w:i/>
        </w:rPr>
        <w:t xml:space="preserve">Policy Making in the Real World</w:t>
      </w:r>
      <w:r>
        <w:t xml:space="preserve"> </w:t>
      </w:r>
      <w:r>
        <w:t xml:space="preserve">[@hallsworthPolicyMakingReal2011]</w:t>
      </w:r>
      <w:r>
        <w:t xml:space="preserve">.</w:t>
      </w:r>
    </w:p>
    <w:p>
      <w:pPr>
        <w:pStyle w:val="BodyText"/>
      </w:pPr>
      <w:r>
        <w:t xml:space="preserve">Praktickou příručkou pro zvládnutí celého procesu pak je</w:t>
      </w:r>
      <w:r>
        <w:t xml:space="preserve"> </w:t>
      </w:r>
      <w:r>
        <w:t xml:space="preserve">@bardachPracticalGuidePolicy2020</w:t>
      </w:r>
      <w:r>
        <w:t xml:space="preserve">.</w:t>
      </w:r>
    </w:p>
    <w:p>
      <w:pPr>
        <w:pStyle w:val="BodyText"/>
      </w:pPr>
      <w:r>
        <w:t xml:space="preserve">Dílčí pojmy, problémy, ale i mýty a nepochopení dobře zachycuje Paul Cairney ve svých knihách a</w:t>
      </w:r>
      <w:r>
        <w:t xml:space="preserve"> </w:t>
      </w:r>
      <w:hyperlink r:id="rId72">
        <w:r>
          <w:rPr>
            <w:rStyle w:val="Hyperlink"/>
          </w:rPr>
          <w:t xml:space="preserve">na blogu</w:t>
        </w:r>
      </w:hyperlink>
      <w:r>
        <w:t xml:space="preserve">, včetně</w:t>
      </w:r>
      <w:r>
        <w:t xml:space="preserve"> </w:t>
      </w:r>
      <w:hyperlink r:id="rId73">
        <w:r>
          <w:rPr>
            <w:rStyle w:val="Hyperlink"/>
          </w:rPr>
          <w:t xml:space="preserve">pojetí témat v 1000 slovech</w:t>
        </w:r>
      </w:hyperlink>
      <w:r>
        <w:t xml:space="preserve"> </w:t>
      </w:r>
      <w:r>
        <w:t xml:space="preserve">– nebo</w:t>
      </w:r>
      <w:r>
        <w:t xml:space="preserve"> </w:t>
      </w:r>
      <w:hyperlink r:id="rId74">
        <w:r>
          <w:rPr>
            <w:rStyle w:val="Hyperlink"/>
          </w:rPr>
          <w:t xml:space="preserve">750 slovech</w:t>
        </w:r>
      </w:hyperlink>
      <w:r>
        <w:t xml:space="preserve"> </w:t>
      </w:r>
      <w:r>
        <w:t xml:space="preserve">nebo</w:t>
      </w:r>
      <w:r>
        <w:t xml:space="preserve"> </w:t>
      </w:r>
      <w:hyperlink r:id="rId75">
        <w:r>
          <w:rPr>
            <w:rStyle w:val="Hyperlink"/>
          </w:rPr>
          <w:t xml:space="preserve">500</w:t>
        </w:r>
      </w:hyperlink>
      <w:r>
        <w:t xml:space="preserve">.</w:t>
      </w:r>
    </w:p>
    <w:bookmarkEnd w:id="76"/>
    <w:bookmarkStart w:id="78" w:name="rozvojové-příležitosti"/>
    <w:p>
      <w:pPr>
        <w:pStyle w:val="Heading2"/>
      </w:pPr>
      <w:r>
        <w:t xml:space="preserve">Rozvojové příležitosti</w:t>
      </w:r>
    </w:p>
    <w:p>
      <w:pPr>
        <w:pStyle w:val="FirstParagraph"/>
      </w:pPr>
      <w:r>
        <w:t xml:space="preserve">Ministerstvo pro místní rozvoj nabízí</w:t>
      </w:r>
      <w:r>
        <w:t xml:space="preserve"> </w:t>
      </w:r>
      <w:hyperlink r:id="rId77">
        <w:r>
          <w:rPr>
            <w:rStyle w:val="Hyperlink"/>
          </w:rPr>
          <w:t xml:space="preserve">vzdělávací program Strateduka</w:t>
        </w:r>
      </w:hyperlink>
      <w:r>
        <w:t xml:space="preserve">, který vás problematikou tvorby politik, strategií a nástrojů provede komplexně.</w:t>
      </w:r>
    </w:p>
    <w:bookmarkEnd w:id="78"/>
    <w:bookmarkStart w:id="80" w:name="odkazovaná-literatura"/>
    <w:p>
      <w:pPr>
        <w:pStyle w:val="Heading2"/>
      </w:pPr>
      <w:r>
        <w:t xml:space="preserve">Odkazovaná literatura</w:t>
      </w:r>
    </w:p>
    <w:bookmarkStart w:id="79" w:name="refs"/>
    <w:bookmarkEnd w:id="79"/>
    <w:bookmarkEnd w:id="80"/>
    <w:bookmarkEnd w:id="81"/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  <w:footnote w:id="24">
    <w:p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>
        <w:t xml:space="preserve">s výjimkou tvorby strategií, pro kterou sice existuje</w:t>
      </w:r>
      <w:r>
        <w:t xml:space="preserve"> </w:t>
      </w:r>
      <w:hyperlink r:id="rId25">
        <w:r>
          <w:rPr>
            <w:rStyle w:val="Hyperlink"/>
          </w:rPr>
          <w:t xml:space="preserve">metodika</w:t>
        </w:r>
      </w:hyperlink>
      <w:r>
        <w:t xml:space="preserve">, ale jde o méně častou a více specializovanou činnost.</w:t>
      </w:r>
    </w:p>
  </w:footnote>
</w:footnotes>
</file>

<file path=word/numbering.xml><?xml version="1.0" encoding="utf-8"?>
<w:numbering xmlns:w="http://schemas.openxmlformats.org/wordprocessingml/2006/main"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411">
    <w:nsid w:val="A9941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decimal"/>
      <w:lvlText w:val="%2."/>
      <w:lvlJc w:val="left"/>
      <w:pPr>
        <w:ind w:left="1440" w:hanging="480"/>
      </w:pPr>
    </w:lvl>
    <w:lvl w:ilvl="2">
      <w:start w:val="1"/>
      <w:numFmt w:val="decimal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decimal"/>
      <w:lvlText w:val="%5."/>
      <w:lvlJc w:val="left"/>
      <w:pPr>
        <w:ind w:left="3600" w:hanging="480"/>
      </w:pPr>
    </w:lvl>
    <w:lvl w:ilvl="5">
      <w:start w:val="1"/>
      <w:numFmt w:val="decimal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decimal"/>
      <w:lvlText w:val="%8."/>
      <w:lvlJc w:val="left"/>
      <w:pPr>
        <w:ind w:left="5760" w:hanging="480"/>
      </w:pPr>
    </w:lvl>
    <w:lvl w:ilvl="8">
      <w:start w:val="1"/>
      <w:numFmt w:val="decimal"/>
      <w:lvlText w:val="%9."/>
      <w:lvlJc w:val="left"/>
      <w:pPr>
        <w:ind w:left="6480" w:hanging="480"/>
      </w:pPr>
    </w:lvl>
  </w:abstractNum>
  <w:abstractNum w:abstractNumId="99711">
    <w:nsid w:val="A99711"/>
    <w:multiLevelType w:val="multilevel"/>
    <w:lvl w:ilvl="0">
      <w:start w:val="1"/>
      <w:numFmt w:val="lowerLetter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Letter"/>
      <w:lvlText w:val="%3."/>
      <w:lvlJc w:val="left"/>
      <w:pPr>
        <w:ind w:left="2160" w:hanging="480"/>
      </w:pPr>
    </w:lvl>
    <w:lvl w:ilvl="3">
      <w:start w:val="1"/>
      <w:numFmt w:val="lowerLetter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Letter"/>
      <w:lvlText w:val="%6."/>
      <w:lvlJc w:val="left"/>
      <w:pPr>
        <w:ind w:left="4320" w:hanging="480"/>
      </w:pPr>
    </w:lvl>
    <w:lvl w:ilvl="6">
      <w:start w:val="1"/>
      <w:numFmt w:val="lowerLetter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Letter"/>
      <w:lvlText w:val="%9."/>
      <w:lvlJc w:val="left"/>
      <w:pPr>
        <w:ind w:left="6480" w:hanging="480"/>
      </w:pPr>
    </w:lvl>
  </w:abstractNum>
  <w:num w:numId="1000">
    <w:abstractNumId w:val="990"/>
  </w:num>
  <w:num w:numId="1001">
    <w:abstractNumId w:val="991"/>
  </w:num>
  <w:num w:numId="1002">
    <w:abstractNumId w:val="991"/>
  </w:num>
  <w:num w:numId="1003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4">
    <w:abstractNumId w:val="991"/>
  </w:num>
  <w:num w:numId="1005">
    <w:abstractNumId w:val="991"/>
  </w:num>
  <w:num w:numId="1006">
    <w:abstractNumId w:val="991"/>
  </w:num>
  <w:num w:numId="1007">
    <w:abstractNumId w:val="991"/>
  </w:num>
  <w:num w:numId="1008">
    <w:abstractNumId w:val="994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9">
    <w:abstractNumId w:val="991"/>
  </w:num>
  <w:num w:numId="1010">
    <w:abstractNumId w:val="997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11">
    <w:abstractNumId w:val="991"/>
  </w:num>
  <w:num w:numId="1012">
    <w:abstractNumId w:val="991"/>
  </w:num>
  <w:num w:numId="1013">
    <w:abstractNumId w:val="991"/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10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m:mathPr>
    <m:mathFont m:val="Cambria Math"/>
    <m:brkBin m:val="before"/>
    <m:brkBinSub m:val="--"/>
    <m:smallFrac m:val="0"/>
    <m:dispDef/>
    <m:lMargin m:val="0"/>
    <m:rMargin m:val="0"/>
    <m:wrapRight/>
    <m:intLim m:val="subSup"/>
    <m:naryLim m:val="undOvr"/>
  </m:mathPr>
  <w:themeFontLang w:val="en-US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276" w:defLockedState="0" w:defQFormat="0" w:defSemiHidden="0" w:defUIPriority="0" w:defUnhideWhenUsed="0"/>
  <w:style w:default="1" w:styleId="Normal" w:type="paragraph">
    <w:name w:val="Normal"/>
    <w:qFormat/>
  </w:style>
  <w:style w:styleId="BodyText" w:type="paragraph">
    <w:name w:val="Body Text"/>
    <w:basedOn w:val="Normal"/>
    <w:link w:val="BodyTextChar"/>
    <w:pPr>
      <w:spacing w:after="180" w:before="180"/>
    </w:pPr>
    <w:qFormat/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keepNext/>
      <w:keepLines/>
      <w:spacing w:after="240" w:before="240"/>
      <w:jc w:val="center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Title" w:type="paragraph">
    <w:name w:val="Abstract Title"/>
    <w:basedOn w:val="Normal"/>
    <w:next w:val="Abstract"/>
    <w:qFormat/>
    <w:pPr>
      <w:keepNext/>
      <w:keepLines/>
      <w:jc w:val="center"/>
      <w:spacing w:after="0" w:before="300"/>
    </w:pPr>
    <w:rPr>
      <w:sz w:val="20"/>
      <w:szCs w:val="20"/>
      <w:b/>
      <w:color w:val="345A8A"/>
      &gt;
    </w:r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100"/>
    </w:pPr>
    <w:rPr>
      <w:sz w:val="20"/>
      <w:szCs w:val="20"/>
    </w:rPr>
  </w:style>
  <w:style w:styleId="Bibliography" w:type="paragraph">
    <w:name w:val="Bibliography"/>
    <w:basedOn w:val="Normal"/>
    <w:next w:val="Bibliography"/>
    <w:qFormat/>
    <w:pPr/>
    <w:rPr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4"/>
      <w:szCs w:val="24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i/>
      <w:bCs/>
      <w:color w:themeColor="accent1" w:val="4F81BD"/>
      <w:sz w:val="24"/>
      <w:szCs w:val="24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Cs/>
      <w:color w:themeColor="accent1" w:val="4F81BD"/>
      <w:sz w:val="24"/>
      <w:szCs w:val="24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7" w:type="paragraph">
    <w:name w:val="Heading 7"/>
    <w:basedOn w:val="Normal"/>
    <w:next w:val="BodyText"/>
    <w:uiPriority w:val="9"/>
    <w:unhideWhenUsed/>
    <w:qFormat/>
    <w:pPr>
      <w:keepNext/>
      <w:keepLines/>
      <w:spacing w:after="0" w:before="200"/>
      <w:outlineLvl w:val="6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8" w:type="paragraph">
    <w:name w:val="Heading 8"/>
    <w:basedOn w:val="Normal"/>
    <w:next w:val="BodyText"/>
    <w:uiPriority w:val="9"/>
    <w:unhideWhenUsed/>
    <w:qFormat/>
    <w:pPr>
      <w:keepNext/>
      <w:keepLines/>
      <w:spacing w:after="0" w:before="200"/>
      <w:outlineLvl w:val="7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Heading9" w:type="paragraph">
    <w:name w:val="Heading 9"/>
    <w:basedOn w:val="Normal"/>
    <w:next w:val="BodyText"/>
    <w:uiPriority w:val="9"/>
    <w:unhideWhenUsed/>
    <w:qFormat/>
    <w:pPr>
      <w:keepNext/>
      <w:keepLines/>
      <w:spacing w:after="0" w:before="200"/>
      <w:outlineLvl w:val="8"/>
    </w:pPr>
    <w:rPr>
      <w:rFonts w:asciiTheme="majorHAnsi" w:cstheme="majorBidi" w:eastAsiaTheme="majorEastAsia" w:hAnsiTheme="majorHAnsi"/>
      <w:color w:themeColor="accent1" w:val="4F81BD"/>
      <w:sz w:val="24"/>
      <w:szCs w:val="24"/>
    </w:rPr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  <w:ind w:firstLine="0" w:left="480" w:right="480"/>
    </w:pPr>
  </w:style>
  <w:style w:styleId="FootnoteText" w:type="paragraph">
    <w:name w:val="Footnote Text"/>
    <w:basedOn w:val="Normal"/>
    <w:next w:val="FootnoteText"/>
    <w:uiPriority w:val="9"/>
    <w:unhideWhenUsed/>
    <w:qFormat/>
  </w:style>
  <w:style w:styleId="FootnoteBlockText" w:type="paragraph">
    <w:name w:val="Footnote Block Text"/>
    <w:basedOn w:val="Footnote Text"/>
    <w:next w:val="Footnote Text"/>
    <w:uiPriority w:val="9"/>
    <w:unhideWhenUsed/>
    <w:qFormat/>
    <w:pPr>
      <w:spacing w:after="100" w:before="100"/>
      <w:ind w:firstLine="0" w:left="480" w:right="480"/>
    </w:pPr>
  </w:style>
  <w:style w:default="1" w:styleId="DefaultParagraphFont" w:type="character">
    <w:name w:val="Default Paragraph Font"/>
    <w:semiHidden/>
    <w:unhideWhenUsed/>
  </w:style>
  <w:style w:default="1" w:styleId="Table" w:type="table">
    <w:name w:val="Table"/>
    <w:basedOn w:val="TableNormal"/>
    <w:semiHidden/>
    <w:unhideWhenUsed/>
    <w:qFormat/>
    <w:tblPr>
      <w:tblInd w:type="dxa" w:w="0"/>
      <w:tblCellMar>
        <w:top w:type="dxa" w:w="0"/>
        <w:left w:type="dxa" w:w="108"/>
        <w:bottom w:type="dxa" w:w="0"/>
        <w:right w:type="dxa" w:w="108"/>
      </w:tblCellMar>
    </w:tblPr>
    <w:tblStylePr w:type="firstRow">
      <w:tblPr>
        <w:jc w:val="left"/>
        <w:tblInd w:type="dxa" w:w="0"/>
      </w:tblPr>
      <w:trPr>
        <w:jc w:val="left"/>
      </w:trPr>
      <w:tcPr>
        <w:vAlign w:val="bottom"/>
        <w:tcBorders>
          <w:bottom w:val="single"/>
        </w:tcBorders>
      </w:tcPr>
    </w:tblStylePr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BodyTextChar"/>
    <w:pPr>
      <w:spacing w:after="120" w:before="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CaptionedFigure" w:type="paragraph">
    <w:name w:val="Captioned Figure"/>
    <w:basedOn w:val="Figure"/>
    <w:pPr>
      <w:keepNext/>
    </w:pPr>
  </w:style>
  <w:style w:customStyle="1" w:styleId="BodyTextChar" w:type="character">
    <w:name w:val="Body Text Char"/>
    <w:basedOn w:val="DefaultParagraphFont"/>
    <w:link w:val="BodyText"/>
  </w:style>
  <w:style w:customStyle="1" w:styleId="VerbatimChar" w:type="character">
    <w:name w:val="Verbatim Char"/>
    <w:basedOn w:val="BodyTextChar"/>
    <w:rPr>
      <w:rFonts w:ascii="Consolas" w:hAnsi="Consolas"/>
      <w:sz w:val="22"/>
    </w:rPr>
  </w:style>
  <w:style w:customStyle="1" w:styleId="SectionNumber" w:type="character">
    <w:name w:val="Section Number"/>
    <w:basedOn w:val="BodyTextChar"/>
  </w:style>
  <w:style w:styleId="FootnoteReference" w:type="character">
    <w:name w:val="Footnote Reference"/>
    <w:basedOn w:val="BodyTextChar"/>
    <w:rPr>
      <w:vertAlign w:val="superscript"/>
    </w:rPr>
  </w:style>
  <w:style w:styleId="Hyperlink" w:type="character">
    <w:name w:val="Hyperlink"/>
    <w:basedOn w:val="BodyText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cstheme="majorBidi" w:eastAsiaTheme="majorEastAsia" w:hAnsiTheme="majorHAnsi"/>
      <w:b w:val="0"/>
      <w:bCs w:val="0"/>
      <w:color w:themeColor="accent1" w:themeShade="BF" w:val="365F91"/>
    </w:rPr>
  </w:style>
  <w:style w:type="paragraph" w:customStyle="1" w:styleId="SourceCode">
    <w:name w:val="Source Code"/>
    <w:basedOn w:val="Normal"/>
    <w:link w:val="VerbatimChar"/>
    <w:pPr>
      <w:wordWrap w:val="off"/>
      <w:shd w:val="clear" w:fill="f1f3f5"/>
    </w:pPr>
  </w:style>
  <w:style w:type="character" w:customStyle="1" w:styleId="KeywordTok">
    <w:name w:val="KeywordTok"/>
    <w:basedOn w:val="VerbatimChar"/>
    <w:rPr>
      <w:color w:val="003b4f"/>
      <w:shd w:val="clear" w:fill="f1f3f5"/>
      <w:b/>
    </w:rPr>
  </w:style>
  <w:style w:type="character" w:customStyle="1" w:styleId="DataTypeTok">
    <w:name w:val="DataTypeTok"/>
    <w:basedOn w:val="VerbatimChar"/>
    <w:rPr>
      <w:color w:val="ad0000"/>
      <w:shd w:val="clear" w:fill="f1f3f5"/>
    </w:rPr>
  </w:style>
  <w:style w:type="character" w:customStyle="1" w:styleId="DecValTok">
    <w:name w:val="DecValTok"/>
    <w:basedOn w:val="VerbatimChar"/>
    <w:rPr>
      <w:color w:val="ad0000"/>
      <w:shd w:val="clear" w:fill="f1f3f5"/>
    </w:rPr>
  </w:style>
  <w:style w:type="character" w:customStyle="1" w:styleId="BaseNTok">
    <w:name w:val="BaseNTok"/>
    <w:basedOn w:val="VerbatimChar"/>
    <w:rPr>
      <w:color w:val="ad0000"/>
      <w:shd w:val="clear" w:fill="f1f3f5"/>
    </w:rPr>
  </w:style>
  <w:style w:type="character" w:customStyle="1" w:styleId="FloatTok">
    <w:name w:val="FloatTok"/>
    <w:basedOn w:val="VerbatimChar"/>
    <w:rPr>
      <w:color w:val="ad0000"/>
      <w:shd w:val="clear" w:fill="f1f3f5"/>
    </w:rPr>
  </w:style>
  <w:style w:type="character" w:customStyle="1" w:styleId="ConstantTok">
    <w:name w:val="ConstantTok"/>
    <w:basedOn w:val="VerbatimChar"/>
    <w:rPr>
      <w:color w:val="8f5902"/>
      <w:shd w:val="clear" w:fill="f1f3f5"/>
    </w:rPr>
  </w:style>
  <w:style w:type="character" w:customStyle="1" w:styleId="CharTok">
    <w:name w:val="CharTok"/>
    <w:basedOn w:val="VerbatimChar"/>
    <w:rPr>
      <w:color w:val="20794d"/>
      <w:shd w:val="clear" w:fill="f1f3f5"/>
    </w:rPr>
  </w:style>
  <w:style w:type="character" w:customStyle="1" w:styleId="SpecialCharTok">
    <w:name w:val="SpecialCharTok"/>
    <w:basedOn w:val="VerbatimChar"/>
    <w:rPr>
      <w:color w:val="5e5e5e"/>
      <w:shd w:val="clear" w:fill="f1f3f5"/>
    </w:rPr>
  </w:style>
  <w:style w:type="character" w:customStyle="1" w:styleId="StringTok">
    <w:name w:val="StringTok"/>
    <w:basedOn w:val="VerbatimChar"/>
    <w:rPr>
      <w:color w:val="20794d"/>
      <w:shd w:val="clear" w:fill="f1f3f5"/>
    </w:rPr>
  </w:style>
  <w:style w:type="character" w:customStyle="1" w:styleId="VerbatimStringTok">
    <w:name w:val="VerbatimStringTok"/>
    <w:basedOn w:val="VerbatimChar"/>
    <w:rPr>
      <w:color w:val="20794d"/>
      <w:shd w:val="clear" w:fill="f1f3f5"/>
    </w:rPr>
  </w:style>
  <w:style w:type="character" w:customStyle="1" w:styleId="SpecialStringTok">
    <w:name w:val="SpecialStringTok"/>
    <w:basedOn w:val="VerbatimChar"/>
    <w:rPr>
      <w:color w:val="20794d"/>
      <w:shd w:val="clear" w:fill="f1f3f5"/>
    </w:rPr>
  </w:style>
  <w:style w:type="character" w:customStyle="1" w:styleId="ImportTok">
    <w:name w:val="ImportTok"/>
    <w:basedOn w:val="VerbatimChar"/>
    <w:rPr>
      <w:color w:val="00769e"/>
      <w:shd w:val="clear" w:fill="f1f3f5"/>
    </w:rPr>
  </w:style>
  <w:style w:type="character" w:customStyle="1" w:styleId="CommentTok">
    <w:name w:val="CommentTok"/>
    <w:basedOn w:val="VerbatimChar"/>
    <w:rPr>
      <w:color w:val="5e5e5e"/>
      <w:shd w:val="clear" w:fill="f1f3f5"/>
    </w:rPr>
  </w:style>
  <w:style w:type="character" w:customStyle="1" w:styleId="DocumentationTok">
    <w:name w:val="DocumentationTok"/>
    <w:basedOn w:val="VerbatimChar"/>
    <w:rPr>
      <w:color w:val="5e5e5e"/>
      <w:shd w:val="clear" w:fill="f1f3f5"/>
      <w:i/>
    </w:rPr>
  </w:style>
  <w:style w:type="character" w:customStyle="1" w:styleId="AnnotationTok">
    <w:name w:val="AnnotationTok"/>
    <w:basedOn w:val="VerbatimChar"/>
    <w:rPr>
      <w:color w:val="5e5e5e"/>
      <w:shd w:val="clear" w:fill="f1f3f5"/>
    </w:rPr>
  </w:style>
  <w:style w:type="character" w:customStyle="1" w:styleId="CommentVarTok">
    <w:name w:val="CommentVarTok"/>
    <w:basedOn w:val="VerbatimChar"/>
    <w:rPr>
      <w:color w:val="5e5e5e"/>
      <w:shd w:val="clear" w:fill="f1f3f5"/>
      <w:i/>
    </w:rPr>
  </w:style>
  <w:style w:type="character" w:customStyle="1" w:styleId="OtherTok">
    <w:name w:val="OtherTok"/>
    <w:basedOn w:val="VerbatimChar"/>
    <w:rPr>
      <w:color w:val="003b4f"/>
      <w:shd w:val="clear" w:fill="f1f3f5"/>
    </w:rPr>
  </w:style>
  <w:style w:type="character" w:customStyle="1" w:styleId="FunctionTok">
    <w:name w:val="FunctionTok"/>
    <w:basedOn w:val="VerbatimChar"/>
    <w:rPr>
      <w:color w:val="4758ab"/>
      <w:shd w:val="clear" w:fill="f1f3f5"/>
    </w:rPr>
  </w:style>
  <w:style w:type="character" w:customStyle="1" w:styleId="VariableTok">
    <w:name w:val="VariableTok"/>
    <w:basedOn w:val="VerbatimChar"/>
    <w:rPr>
      <w:color w:val="111111"/>
      <w:shd w:val="clear" w:fill="f1f3f5"/>
    </w:rPr>
  </w:style>
  <w:style w:type="character" w:customStyle="1" w:styleId="ControlFlowTok">
    <w:name w:val="ControlFlowTok"/>
    <w:basedOn w:val="VerbatimChar"/>
    <w:rPr>
      <w:color w:val="003b4f"/>
      <w:shd w:val="clear" w:fill="f1f3f5"/>
      <w:b/>
    </w:rPr>
  </w:style>
  <w:style w:type="character" w:customStyle="1" w:styleId="OperatorTok">
    <w:name w:val="OperatorTok"/>
    <w:basedOn w:val="VerbatimChar"/>
    <w:rPr>
      <w:color w:val="5e5e5e"/>
      <w:shd w:val="clear" w:fill="f1f3f5"/>
    </w:rPr>
  </w:style>
  <w:style w:type="character" w:customStyle="1" w:styleId="BuiltInTok">
    <w:name w:val="BuiltInTok"/>
    <w:basedOn w:val="VerbatimChar"/>
    <w:rPr>
      <w:color w:val="003b4f"/>
      <w:shd w:val="clear" w:fill="f1f3f5"/>
    </w:rPr>
  </w:style>
  <w:style w:type="character" w:customStyle="1" w:styleId="ExtensionTok">
    <w:name w:val="ExtensionTok"/>
    <w:basedOn w:val="VerbatimChar"/>
    <w:rPr>
      <w:color w:val="003b4f"/>
      <w:shd w:val="clear" w:fill="f1f3f5"/>
    </w:rPr>
  </w:style>
  <w:style w:type="character" w:customStyle="1" w:styleId="PreprocessorTok">
    <w:name w:val="PreprocessorTok"/>
    <w:basedOn w:val="VerbatimChar"/>
    <w:rPr>
      <w:color w:val="ad0000"/>
      <w:shd w:val="clear" w:fill="f1f3f5"/>
    </w:rPr>
  </w:style>
  <w:style w:type="character" w:customStyle="1" w:styleId="AttributeTok">
    <w:name w:val="AttributeTok"/>
    <w:basedOn w:val="VerbatimChar"/>
    <w:rPr>
      <w:color w:val="657422"/>
      <w:shd w:val="clear" w:fill="f1f3f5"/>
    </w:rPr>
  </w:style>
  <w:style w:type="character" w:customStyle="1" w:styleId="RegionMarkerTok">
    <w:name w:val="RegionMarkerTok"/>
    <w:basedOn w:val="VerbatimChar"/>
    <w:rPr>
      <w:color w:val="003b4f"/>
      <w:shd w:val="clear" w:fill="f1f3f5"/>
    </w:rPr>
  </w:style>
  <w:style w:type="character" w:customStyle="1" w:styleId="InformationTok">
    <w:name w:val="InformationTok"/>
    <w:basedOn w:val="VerbatimChar"/>
    <w:rPr>
      <w:color w:val="5e5e5e"/>
      <w:shd w:val="clear" w:fill="f1f3f5"/>
    </w:rPr>
  </w:style>
  <w:style w:type="character" w:customStyle="1" w:styleId="WarningTok">
    <w:name w:val="WarningTok"/>
    <w:basedOn w:val="VerbatimChar"/>
    <w:rPr>
      <w:color w:val="5e5e5e"/>
      <w:shd w:val="clear" w:fill="f1f3f5"/>
      <w:i/>
    </w:rPr>
  </w:style>
  <w:style w:type="character" w:customStyle="1" w:styleId="AlertTok">
    <w:name w:val="AlertTok"/>
    <w:basedOn w:val="VerbatimChar"/>
    <w:rPr>
      <w:color w:val="ad0000"/>
      <w:shd w:val="clear" w:fill="f1f3f5"/>
    </w:rPr>
  </w:style>
  <w:style w:type="character" w:customStyle="1" w:styleId="ErrorTok">
    <w:name w:val="ErrorTok"/>
    <w:basedOn w:val="VerbatimChar"/>
    <w:rPr>
      <w:color w:val="ad0000"/>
      <w:shd w:val="clear" w:fill="f1f3f5"/>
    </w:rPr>
  </w:style>
  <w:style w:type="character" w:customStyle="1" w:styleId="NormalTok">
    <w:name w:val="NormalTok"/>
    <w:basedOn w:val="VerbatimChar"/>
    <w:rPr>
      <w:color w:val="003b4f"/>
      <w:shd w:val="clear" w:fill="f1f3f5"/>
    </w:rPr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image" Id="rId21" Target="media/rId21.png" /><Relationship Type="http://schemas.openxmlformats.org/officeDocument/2006/relationships/image" Id="rId34" Target="media/rId34.png" /><Relationship Type="http://schemas.openxmlformats.org/officeDocument/2006/relationships/image" Id="rId42" Target="media/rId42.webp" /><Relationship Type="http://schemas.openxmlformats.org/officeDocument/2006/relationships/image" Id="rId39" Target="media/rId39.jpg" /><Relationship Type="http://schemas.openxmlformats.org/officeDocument/2006/relationships/hyperlink" Id="rId71" Target="../doporuceni/teze-o-praci-s-poznatky-stat.qmd" TargetMode="External" /><Relationship Type="http://schemas.openxmlformats.org/officeDocument/2006/relationships/hyperlink" Id="rId26" Target="../pripadove-studie/mpsv" TargetMode="External" /><Relationship Type="http://schemas.openxmlformats.org/officeDocument/2006/relationships/hyperlink" Id="rId65" Target="https://100metod.cz/" TargetMode="External" /><Relationship Type="http://schemas.openxmlformats.org/officeDocument/2006/relationships/hyperlink" Id="rId59" Target="https://commission.europa.eu/law/law-making-process/planning-and-proposing-law/better-regulation/better-regulation-guidelines-and-toolbox/better-regulation-toolbox_en" TargetMode="External" /><Relationship Type="http://schemas.openxmlformats.org/officeDocument/2006/relationships/hyperlink" Id="rId53" Target="https://commission.europa.eu/system/files/2023-09/BRT-2023-Chapter%208-Methodologies%20for%20analysing%20impacts%20in%20IAs%20evaluations%20and%20fitness%20checks_0.pdf" TargetMode="External" /><Relationship Type="http://schemas.openxmlformats.org/officeDocument/2006/relationships/hyperlink" Id="rId66" Target="https://libdesign.kisk.cz/designove-metody" TargetMode="External" /><Relationship Type="http://schemas.openxmlformats.org/officeDocument/2006/relationships/hyperlink" Id="rId25" Target="https://mmr.gov.cz/cs/microsites/portal-strategicke-prace-v-ceske-republice/nastroje-a-metodicka-podpora/vystupy-projektu" TargetMode="External" /><Relationship Type="http://schemas.openxmlformats.org/officeDocument/2006/relationships/hyperlink" Id="rId77" Target="https://mmr.gov.cz/cs/microsites/portal-strategicke-prace-v-ceske-republice/strategicke-projekty/strateduka" TargetMode="External" /><Relationship Type="http://schemas.openxmlformats.org/officeDocument/2006/relationships/hyperlink" Id="rId69" Target="https://openpolicy.blog.gov.uk/2022/05/18/launching-our-experimental-policy-design-methods/" TargetMode="External" /><Relationship Type="http://schemas.openxmlformats.org/officeDocument/2006/relationships/hyperlink" Id="rId73" Target="https://paulcairney.wordpress.com/1000-words/" TargetMode="External" /><Relationship Type="http://schemas.openxmlformats.org/officeDocument/2006/relationships/hyperlink" Id="rId75" Target="https://paulcairney.wordpress.com/500-words/" TargetMode="External" /><Relationship Type="http://schemas.openxmlformats.org/officeDocument/2006/relationships/hyperlink" Id="rId72" Target="https://paulcairney.wordpress.com/blog/" TargetMode="External" /><Relationship Type="http://schemas.openxmlformats.org/officeDocument/2006/relationships/hyperlink" Id="rId74" Target="https://paulcairney.wordpress.com/policy-analysis-in-750-words/" TargetMode="External" /><Relationship Type="http://schemas.openxmlformats.org/officeDocument/2006/relationships/hyperlink" Id="rId20" Target="https://ria.vlada.cz/" TargetMode="External" /><Relationship Type="http://schemas.openxmlformats.org/officeDocument/2006/relationships/hyperlink" Id="rId60" Target="https://www.dpmc.govt.nz/our-programmes/policy-project/policy-methods-toolbox" TargetMode="External" /><Relationship Type="http://schemas.openxmlformats.org/officeDocument/2006/relationships/hyperlink" Id="rId63" Target="https://www.gov.uk/government/publications/the-green-book-appraisal-and-evaluation-in-central-government/the-green-book-2020" TargetMode="External" /><Relationship Type="http://schemas.openxmlformats.org/officeDocument/2006/relationships/hyperlink" Id="rId67" Target="https://www.gov.uk/guidance/open-policy-making-toolkit" TargetMode="External" /><Relationship Type="http://schemas.openxmlformats.org/officeDocument/2006/relationships/hyperlink" Id="rId47" Target="https://www.gov.uk/guidance/what-works-network" TargetMode="External" /><Relationship Type="http://schemas.openxmlformats.org/officeDocument/2006/relationships/hyperlink" Id="rId68" Target="https://www.slideshare.net/Openpolicymaking/060715-change-cardscollated" TargetMode="External" /><Relationship Type="http://schemas.openxmlformats.org/officeDocument/2006/relationships/hyperlink" Id="rId45" Target="https://www.slideshare.net/Openpolicymaking/060715-change-cardscollated%22" TargetMode="External" /><Relationship Type="http://schemas.openxmlformats.org/officeDocument/2006/relationships/hyperlink" Id="rId33" Target="rizeni-spolecne-prace.qmd" TargetMode="External" /></Relationships>
</file>

<file path=word/_rels/footnotes.xml.rels><?xml version="1.0" encoding="UTF-8"?><Relationships xmlns="http://schemas.openxmlformats.org/package/2006/relationships"><Relationship Type="http://schemas.openxmlformats.org/officeDocument/2006/relationships/hyperlink" Id="rId71" Target="../doporuceni/teze-o-praci-s-poznatky-stat.qmd" TargetMode="External" /><Relationship Type="http://schemas.openxmlformats.org/officeDocument/2006/relationships/hyperlink" Id="rId26" Target="../pripadove-studie/mpsv" TargetMode="External" /><Relationship Type="http://schemas.openxmlformats.org/officeDocument/2006/relationships/hyperlink" Id="rId65" Target="https://100metod.cz/" TargetMode="External" /><Relationship Type="http://schemas.openxmlformats.org/officeDocument/2006/relationships/hyperlink" Id="rId59" Target="https://commission.europa.eu/law/law-making-process/planning-and-proposing-law/better-regulation/better-regulation-guidelines-and-toolbox/better-regulation-toolbox_en" TargetMode="External" /><Relationship Type="http://schemas.openxmlformats.org/officeDocument/2006/relationships/hyperlink" Id="rId53" Target="https://commission.europa.eu/system/files/2023-09/BRT-2023-Chapter%208-Methodologies%20for%20analysing%20impacts%20in%20IAs%20evaluations%20and%20fitness%20checks_0.pdf" TargetMode="External" /><Relationship Type="http://schemas.openxmlformats.org/officeDocument/2006/relationships/hyperlink" Id="rId66" Target="https://libdesign.kisk.cz/designove-metody" TargetMode="External" /><Relationship Type="http://schemas.openxmlformats.org/officeDocument/2006/relationships/hyperlink" Id="rId25" Target="https://mmr.gov.cz/cs/microsites/portal-strategicke-prace-v-ceske-republice/nastroje-a-metodicka-podpora/vystupy-projektu" TargetMode="External" /><Relationship Type="http://schemas.openxmlformats.org/officeDocument/2006/relationships/hyperlink" Id="rId77" Target="https://mmr.gov.cz/cs/microsites/portal-strategicke-prace-v-ceske-republice/strategicke-projekty/strateduka" TargetMode="External" /><Relationship Type="http://schemas.openxmlformats.org/officeDocument/2006/relationships/hyperlink" Id="rId69" Target="https://openpolicy.blog.gov.uk/2022/05/18/launching-our-experimental-policy-design-methods/" TargetMode="External" /><Relationship Type="http://schemas.openxmlformats.org/officeDocument/2006/relationships/hyperlink" Id="rId73" Target="https://paulcairney.wordpress.com/1000-words/" TargetMode="External" /><Relationship Type="http://schemas.openxmlformats.org/officeDocument/2006/relationships/hyperlink" Id="rId75" Target="https://paulcairney.wordpress.com/500-words/" TargetMode="External" /><Relationship Type="http://schemas.openxmlformats.org/officeDocument/2006/relationships/hyperlink" Id="rId72" Target="https://paulcairney.wordpress.com/blog/" TargetMode="External" /><Relationship Type="http://schemas.openxmlformats.org/officeDocument/2006/relationships/hyperlink" Id="rId74" Target="https://paulcairney.wordpress.com/policy-analysis-in-750-words/" TargetMode="External" /><Relationship Type="http://schemas.openxmlformats.org/officeDocument/2006/relationships/hyperlink" Id="rId20" Target="https://ria.vlada.cz/" TargetMode="External" /><Relationship Type="http://schemas.openxmlformats.org/officeDocument/2006/relationships/hyperlink" Id="rId60" Target="https://www.dpmc.govt.nz/our-programmes/policy-project/policy-methods-toolbox" TargetMode="External" /><Relationship Type="http://schemas.openxmlformats.org/officeDocument/2006/relationships/hyperlink" Id="rId63" Target="https://www.gov.uk/government/publications/the-green-book-appraisal-and-evaluation-in-central-government/the-green-book-2020" TargetMode="External" /><Relationship Type="http://schemas.openxmlformats.org/officeDocument/2006/relationships/hyperlink" Id="rId67" Target="https://www.gov.uk/guidance/open-policy-making-toolkit" TargetMode="External" /><Relationship Type="http://schemas.openxmlformats.org/officeDocument/2006/relationships/hyperlink" Id="rId47" Target="https://www.gov.uk/guidance/what-works-network" TargetMode="External" /><Relationship Type="http://schemas.openxmlformats.org/officeDocument/2006/relationships/hyperlink" Id="rId68" Target="https://www.slideshare.net/Openpolicymaking/060715-change-cardscollated" TargetMode="External" /><Relationship Type="http://schemas.openxmlformats.org/officeDocument/2006/relationships/hyperlink" Id="rId45" Target="https://www.slideshare.net/Openpolicymaking/060715-change-cardscollated%22" TargetMode="External" /><Relationship Type="http://schemas.openxmlformats.org/officeDocument/2006/relationships/hyperlink" Id="rId33" Target="rizeni-spolecne-prace.qmd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Tvorba nástroje veřejné politiky</dc:title>
  <dc:creator/>
  <dc:description>Domů &gt; Průvodce &gt; Tvorba nástroje veřejné politiky</dc:description>
  <cp:keywords/>
  <dcterms:created xsi:type="dcterms:W3CDTF">2024-05-02T17:55:17Z</dcterms:created>
  <dcterms:modified xsi:type="dcterms:W3CDTF">2024-05-02T17:55:17Z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blio-config">
    <vt:lpwstr>True</vt:lpwstr>
  </property>
  <property fmtid="{D5CDD505-2E9C-101B-9397-08002B2CF9AE}" pid="3" name="blok">
    <vt:lpwstr/>
  </property>
  <property fmtid="{D5CDD505-2E9C-101B-9397-08002B2CF9AE}" pid="4" name="citation-location">
    <vt:lpwstr>document</vt:lpwstr>
  </property>
  <property fmtid="{D5CDD505-2E9C-101B-9397-08002B2CF9AE}" pid="5" name="editor">
    <vt:lpwstr>source</vt:lpwstr>
  </property>
  <property fmtid="{D5CDD505-2E9C-101B-9397-08002B2CF9AE}" pid="6" name="header-includes">
    <vt:lpwstr/>
  </property>
  <property fmtid="{D5CDD505-2E9C-101B-9397-08002B2CF9AE}" pid="7" name="include-after">
    <vt:lpwstr/>
  </property>
  <property fmtid="{D5CDD505-2E9C-101B-9397-08002B2CF9AE}" pid="8" name="include-before">
    <vt:lpwstr/>
  </property>
  <property fmtid="{D5CDD505-2E9C-101B-9397-08002B2CF9AE}" pid="9" name="labels">
    <vt:lpwstr/>
  </property>
  <property fmtid="{D5CDD505-2E9C-101B-9397-08002B2CF9AE}" pid="10" name="poradi">
    <vt:lpwstr>7</vt:lpwstr>
  </property>
  <property fmtid="{D5CDD505-2E9C-101B-9397-08002B2CF9AE}" pid="11" name="subtitle">
    <vt:lpwstr>Jak lépe připravovat dotační výzvy a podobné instrumenty</vt:lpwstr>
  </property>
  <property fmtid="{D5CDD505-2E9C-101B-9397-08002B2CF9AE}" pid="12" name="title-block-banner">
    <vt:lpwstr>True</vt:lpwstr>
  </property>
  <property fmtid="{D5CDD505-2E9C-101B-9397-08002B2CF9AE}" pid="13" name="title-block-categories">
    <vt:lpwstr>False</vt:lpwstr>
  </property>
  <property fmtid="{D5CDD505-2E9C-101B-9397-08002B2CF9AE}" pid="14" name="toc-title">
    <vt:lpwstr>Table of contents</vt:lpwstr>
  </property>
  <property fmtid="{D5CDD505-2E9C-101B-9397-08002B2CF9AE}" pid="15" name="uplevel">
    <vt:lpwstr>Průvodce</vt:lpwstr>
  </property>
  <property fmtid="{D5CDD505-2E9C-101B-9397-08002B2CF9AE}" pid="16" name="uplevel-url">
    <vt:lpwstr>/pruvodce/index.html</vt:lpwstr>
  </property>
</Properties>
</file>