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Offboarding</w:t>
      </w:r>
      <w:r>
        <w:t xml:space="preserve"> </w:t>
      </w:r>
      <w:r>
        <w:t xml:space="preserve">člena</w:t>
      </w:r>
      <w:r>
        <w:t xml:space="preserve"> </w:t>
      </w:r>
      <w:r>
        <w:t xml:space="preserve">týmu</w:t>
      </w:r>
    </w:p>
    <w:p>
      <w:pPr>
        <w:pStyle w:val="Subtitle"/>
      </w:pPr>
      <w:r>
        <w:t xml:space="preserve">Nepřicházejte</w:t>
      </w:r>
      <w:r>
        <w:t xml:space="preserve"> </w:t>
      </w:r>
      <w:r>
        <w:t xml:space="preserve">o</w:t>
      </w:r>
      <w:r>
        <w:t xml:space="preserve"> </w:t>
      </w:r>
      <w:r>
        <w:t xml:space="preserve">znalosti</w:t>
      </w:r>
      <w:r>
        <w:t xml:space="preserve"> </w:t>
      </w:r>
      <w:r>
        <w:t xml:space="preserve">těch,</w:t>
      </w:r>
      <w:r>
        <w:t xml:space="preserve"> </w:t>
      </w:r>
      <w:r>
        <w:t xml:space="preserve">kdo</w:t>
      </w:r>
      <w:r>
        <w:t xml:space="preserve"> </w:t>
      </w:r>
      <w:r>
        <w:t xml:space="preserve">odchází</w:t>
      </w:r>
      <w:r>
        <w:t xml:space="preserve"> </w:t>
      </w:r>
      <w:r>
        <w:t xml:space="preserve">z</w:t>
      </w:r>
      <w:r>
        <w:t xml:space="preserve"> </w:t>
      </w:r>
      <w:r>
        <w:t xml:space="preserve">týmu</w:t>
      </w:r>
    </w:p>
    <w:bookmarkStart w:id="21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Jedná se o zachycení znalostí a vědomostí kolegy či kolegyně, který*á opouští tým.</w:t>
      </w:r>
    </w:p>
    <w:p>
      <w:pPr>
        <w:pStyle w:val="BodyText"/>
      </w:pPr>
      <w:r>
        <w:t xml:space="preserve">Praxe ukazuje, že ne všechny znalosti jsou explicitní –</w:t>
      </w:r>
      <w:r>
        <w:t xml:space="preserve"> </w:t>
      </w:r>
      <w:hyperlink r:id="rId20">
        <w:r>
          <w:rPr>
            <w:rStyle w:val="Hyperlink"/>
          </w:rPr>
          <w:t xml:space="preserve">viz naše vzkazy pro týmy</w:t>
        </w:r>
      </w:hyperlink>
      <w:r>
        <w:t xml:space="preserve">. I když přimějete odcházející*ho kolegu či kolegyni napsat předávací zprávu, ne vše se podaří zachytit a některé znalosti vyplavou až při vzájemné interakci. Proto doporučujeme do procesu zařadi i exit interview, resp. do exit interview zařadit část zaměřenou na zachycení tohoto typu znalostí a informací.</w:t>
      </w:r>
    </w:p>
    <w:bookmarkEnd w:id="21"/>
    <w:bookmarkStart w:id="22" w:name="sebediagnostika-je-to-pro-mě"/>
    <w:p>
      <w:pPr>
        <w:pStyle w:val="Heading1"/>
      </w:pPr>
      <w:r>
        <w:t xml:space="preserve">Sebediagnostika: je to pro mě?</w:t>
      </w:r>
    </w:p>
    <w:p>
      <w:pPr>
        <w:pStyle w:val="FirstParagraph"/>
      </w:pPr>
      <w:r>
        <w:t xml:space="preserve">Následující návod je určen především pro ty, kteří zatím s offboardingem nemají příliš zkušeností.</w:t>
      </w:r>
    </w:p>
    <w:bookmarkEnd w:id="22"/>
    <w:bookmarkStart w:id="28" w:name="jak-na-to"/>
    <w:p>
      <w:pPr>
        <w:pStyle w:val="Heading1"/>
      </w:pPr>
      <w:r>
        <w:t xml:space="preserve">Jak na to</w:t>
      </w:r>
    </w:p>
    <w:p>
      <w:pPr>
        <w:numPr>
          <w:ilvl w:val="0"/>
          <w:numId w:val="1001"/>
        </w:numPr>
        <w:pStyle w:val="Compact"/>
      </w:pPr>
      <w:r>
        <w:t xml:space="preserve">Začněte brzy: co nejdřív po té, co se dovíte, že daný člověk bude odcházet. Pokud možno naplánujte proces spolu se zaměstnancem, který bude nahrazovat odcházejícího člověka.</w:t>
      </w:r>
    </w:p>
    <w:p>
      <w:pPr>
        <w:pStyle w:val="FirstParagraph"/>
      </w:pPr>
      <w:r>
        <w:t xml:space="preserve">Tento návod jsme vyvinuli ve spolupráci s Evaluační jednotkou NOK na MMR.</w:t>
      </w:r>
    </w:p>
    <w:p>
      <w:pPr>
        <w:pStyle w:val="BodyText"/>
      </w:pPr>
    </w:p>
    <w:p>
      <w:pPr>
        <w:pStyle w:val="BodyText"/>
      </w:pPr>
      <w:hyperlink r:id="rId23">
        <w:r>
          <w:rPr>
            <w:rStyle w:val="Hyperlink"/>
          </w:rPr>
          <w:t xml:space="preserve">Číst případovou studii -&gt;</w:t>
        </w:r>
      </w:hyperlink>
    </w:p>
    <w:p>
      <w:pPr>
        <w:numPr>
          <w:ilvl w:val="0"/>
          <w:numId w:val="1002"/>
        </w:numPr>
        <w:pStyle w:val="Compact"/>
      </w:pPr>
      <w:r>
        <w:t xml:space="preserve">Určete kolegy, kterým by byly zanechané znalosti k prospěchu a zjistěte jejich zájem.</w:t>
      </w:r>
    </w:p>
    <w:p>
      <w:pPr>
        <w:numPr>
          <w:ilvl w:val="0"/>
          <w:numId w:val="1003"/>
        </w:numPr>
      </w:pPr>
      <w:r>
        <w:t xml:space="preserve">Rozlišujte mezi</w:t>
      </w:r>
      <w:r>
        <w:t xml:space="preserve"> </w:t>
      </w:r>
      <w:hyperlink r:id="rId24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explicitními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tacitními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znalostmi</w:t>
        </w:r>
      </w:hyperlink>
    </w:p>
    <w:p>
      <w:pPr>
        <w:numPr>
          <w:ilvl w:val="0"/>
          <w:numId w:val="1003"/>
        </w:numPr>
      </w:pPr>
      <w:r>
        <w:t xml:space="preserve">Ujistěte se, že explicitní znalosti jsou zachycené za dobu práce daného člověka jsou zpřístupněny pro ostatní. Zjistěte, zda tam nejsou další věci, které by bylo potřeba ještě podchytit.</w:t>
      </w:r>
    </w:p>
    <w:p>
      <w:pPr>
        <w:numPr>
          <w:ilvl w:val="0"/>
          <w:numId w:val="1003"/>
        </w:numPr>
      </w:pPr>
      <w:r>
        <w:t xml:space="preserve">S ohledem na tacit knowledge, projděte s odcházejícím zaměstnancem aktivity a agendy jejich práce. Zjistěte u každých aktivit jak v nich pracoval a jaké dovednosti a znalosti byly potřeba k jejich vykonávání.</w:t>
      </w:r>
    </w:p>
    <w:p>
      <w:pPr>
        <w:numPr>
          <w:ilvl w:val="0"/>
          <w:numId w:val="1003"/>
        </w:numPr>
      </w:pPr>
      <w:r>
        <w:t xml:space="preserve">Zeptejte se na</w:t>
      </w:r>
      <w:r>
        <w:t xml:space="preserve"> </w:t>
      </w:r>
      <w:r>
        <w:t xml:space="preserve">“</w:t>
      </w:r>
      <w:r>
        <w:t xml:space="preserve">walk-through</w:t>
      </w:r>
      <w:r>
        <w:t xml:space="preserve">”</w:t>
      </w:r>
      <w:r>
        <w:t xml:space="preserve"> </w:t>
      </w:r>
      <w:r>
        <w:t xml:space="preserve">jednotlivých aktivit, nebo aspoň těch nejdůležitějších – to vám pomůže zachytit dobré praxe, úspěšné příběhy, jejich faktorů a také problémy.</w:t>
      </w:r>
    </w:p>
    <w:p>
      <w:pPr>
        <w:numPr>
          <w:ilvl w:val="0"/>
          <w:numId w:val="1003"/>
        </w:numPr>
      </w:pPr>
      <w:r>
        <w:t xml:space="preserve">Určete zdroje znalostí jako jsou lidé a sítě kontaktů.</w:t>
      </w:r>
    </w:p>
    <w:p>
      <w:pPr>
        <w:numPr>
          <w:ilvl w:val="0"/>
          <w:numId w:val="1003"/>
        </w:numPr>
      </w:pPr>
      <w:r>
        <w:t xml:space="preserve">Dobrým úvodem může být cvičení spuštěné větou</w:t>
      </w:r>
      <w:r>
        <w:t xml:space="preserve"> </w:t>
      </w:r>
      <w:r>
        <w:t xml:space="preserve">“</w:t>
      </w:r>
      <w:r>
        <w:t xml:space="preserve">řekni nám 10 věcí, které ti nikdo neřekl a dozvěděl* ses je až při práci</w:t>
      </w:r>
      <w:r>
        <w:t xml:space="preserve">”</w:t>
      </w:r>
      <w:r>
        <w:t xml:space="preserve">.</w:t>
      </w:r>
    </w:p>
    <w:p>
      <w:pPr>
        <w:pStyle w:val="FirstParagraph"/>
      </w:pPr>
      <w:r>
        <w:t xml:space="preserve">Konkrétní možné otázky jsou následující:</w:t>
      </w:r>
    </w:p>
    <w:p>
      <w:pPr>
        <w:numPr>
          <w:ilvl w:val="0"/>
          <w:numId w:val="1004"/>
        </w:numPr>
        <w:pStyle w:val="Compact"/>
      </w:pPr>
      <w:r>
        <w:t xml:space="preserve">Jak se může zlepšit proces nástupu na vaši roli pro nového člena týmu?</w:t>
      </w:r>
    </w:p>
    <w:p>
      <w:pPr>
        <w:numPr>
          <w:ilvl w:val="0"/>
          <w:numId w:val="1004"/>
        </w:numPr>
        <w:pStyle w:val="Compact"/>
      </w:pPr>
      <w:r>
        <w:t xml:space="preserve">Jaký typ školení jste chtěl/potřeboval, ale nedostal jste ho - jaký efekt by školení mělo na vaší práci?</w:t>
      </w:r>
    </w:p>
    <w:p>
      <w:pPr>
        <w:numPr>
          <w:ilvl w:val="0"/>
          <w:numId w:val="1004"/>
        </w:numPr>
        <w:pStyle w:val="Compact"/>
      </w:pPr>
      <w:r>
        <w:t xml:space="preserve">Co víte/umíte vy a nikdo jiný v týmu?</w:t>
      </w:r>
    </w:p>
    <w:p>
      <w:pPr>
        <w:numPr>
          <w:ilvl w:val="0"/>
          <w:numId w:val="1004"/>
        </w:numPr>
        <w:pStyle w:val="Compact"/>
      </w:pPr>
      <w:r>
        <w:t xml:space="preserve">Jak se může přenést vaše tacit a explicit knowledge do oddělení?</w:t>
      </w:r>
    </w:p>
    <w:p>
      <w:pPr>
        <w:numPr>
          <w:ilvl w:val="0"/>
          <w:numId w:val="1004"/>
        </w:numPr>
        <w:pStyle w:val="Compact"/>
      </w:pPr>
      <w:r>
        <w:t xml:space="preserve">Můžete představit Vaše klíčové kontakty novému členovi týmu?</w:t>
      </w:r>
    </w:p>
    <w:p>
      <w:pPr>
        <w:numPr>
          <w:ilvl w:val="0"/>
          <w:numId w:val="1004"/>
        </w:numPr>
        <w:pStyle w:val="Compact"/>
      </w:pPr>
      <w:r>
        <w:t xml:space="preserve">Jak může oddělení shromáždit a lépe využít znalosti jednotlivců?</w:t>
      </w:r>
    </w:p>
    <w:p>
      <w:pPr>
        <w:pStyle w:val="FirstParagraph"/>
      </w:pPr>
      <w:r>
        <w:t xml:space="preserve">Vhodnou pomůckou může být zanesení a prioritizace předávaných znalostí např. formou nějaké digitální tabulce (např. Miro) nebo i lístečky na papír.</w:t>
      </w:r>
    </w:p>
    <w:p>
      <w:pPr>
        <w:pStyle w:val="BodyText"/>
      </w:pPr>
      <w:r>
        <w:t xml:space="preserve">Můžete si vytvořit jednoduchou matici, kde budete pro každou aktivitu/agendu odcházejícího člena týmu zachytávat jednotlivé kategorie informací/znalostí.</w:t>
      </w:r>
    </w:p>
    <w:p>
      <w:pPr>
        <w:pStyle w:val="BodyText"/>
      </w:pPr>
      <w:r>
        <w:drawing>
          <wp:inline>
            <wp:extent cx="5334000" cy="25788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images/offboarding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7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Nejspíš vám to pomůže odhalit také věci, které by bylo vhodné explicitně zachytit (tj. někam sepsat, uložit, předat), ale zatím se to nestalo.</w:t>
      </w:r>
    </w:p>
    <w:bookmarkEnd w:id="28"/>
    <w:bookmarkStart w:id="29" w:name="na-co-si-dát-pozor-aneb-tipy-triky"/>
    <w:p>
      <w:pPr>
        <w:pStyle w:val="Heading1"/>
      </w:pPr>
      <w:r>
        <w:t xml:space="preserve">Na co si dát pozor aneb tipy &amp; triky</w:t>
      </w:r>
    </w:p>
    <w:p>
      <w:pPr>
        <w:numPr>
          <w:ilvl w:val="0"/>
          <w:numId w:val="1005"/>
        </w:numPr>
      </w:pPr>
      <w:r>
        <w:t xml:space="preserve">Toto je jen výsek věcí, které by měl zachytit dobrý offboarding proces – jde o ty věci, které se nejvíc týkají práce s poznatky. Manažer týmu např. může chtít využit offboarding jako příležitost pro získání zpětné vazby a reflexe práce v týmu.</w:t>
      </w:r>
    </w:p>
    <w:p>
      <w:pPr>
        <w:numPr>
          <w:ilvl w:val="0"/>
          <w:numId w:val="1005"/>
        </w:numPr>
      </w:pPr>
      <w:r>
        <w:t xml:space="preserve">Zeptejte se personalistů ve Vaší organizaci, jestli nemají v tomto směru nějaké tipy, ověřené postupy nebo nástroje.</w:t>
      </w:r>
    </w:p>
    <w:p>
      <w:pPr>
        <w:numPr>
          <w:ilvl w:val="0"/>
          <w:numId w:val="1005"/>
        </w:numPr>
      </w:pPr>
      <w:r>
        <w:t xml:space="preserve">Pokud je exit-interview prováděno samostatně v rámci oddělení, je důležité, aby bylo facilitováno neutrálním členem týmu nebo externím článkem. Neutrální postavení umožní účastníkovi rozhovoru být více otevřený a sdílet užitečné informace.</w:t>
      </w:r>
    </w:p>
    <w:p>
      <w:pPr>
        <w:numPr>
          <w:ilvl w:val="0"/>
          <w:numId w:val="1005"/>
        </w:numPr>
      </w:pPr>
      <w:r>
        <w:t xml:space="preserve">Je důležité vysvětlit pojmy jako tacitní a explicitní znalosti. Je vhodné připojit konkrétní příklady z praxe daného oddělení.</w:t>
      </w:r>
    </w:p>
    <w:bookmarkEnd w:id="29"/>
    <w:bookmarkStart w:id="34" w:name="další-zdroje"/>
    <w:p>
      <w:pPr>
        <w:pStyle w:val="Heading1"/>
      </w:pPr>
      <w:r>
        <w:t xml:space="preserve">Další zdroje</w:t>
      </w:r>
    </w:p>
    <w:p>
      <w:pPr>
        <w:pStyle w:val="FirstParagraph"/>
      </w:pPr>
      <w:r>
        <w:t xml:space="preserve">Pokud se chcete do tématu ponořit hlouběji a vypilovat si svůj vlastní postup, nabízíme několik zdrojů, ze kterým jsme tipy a praxe pro testování vybírali. Jde o exit interview postupy zaměřené na knowledge management. Jsou to starší zdroje, ale principy z nich lze snadno adaptovat do digitálních a moderních postupů.</w:t>
      </w:r>
    </w:p>
    <w:p>
      <w:pPr>
        <w:pStyle w:val="BodyText"/>
      </w:pPr>
      <w:hyperlink r:id="rId30">
        <w:r>
          <w:rPr>
            <w:rStyle w:val="Hyperlink"/>
          </w:rPr>
          <w:t xml:space="preserve">Knowledge-Based Exit Interview Guide</w:t>
        </w:r>
      </w:hyperlink>
      <w:r>
        <w:br/>
      </w:r>
      <w:hyperlink r:id="rId31">
        <w:r>
          <w:rPr>
            <w:rStyle w:val="Hyperlink"/>
          </w:rPr>
          <w:t xml:space="preserve">Capturing and Storing Knowledge: Exit Interviews, ODI</w:t>
        </w:r>
      </w:hyperlink>
    </w:p>
    <w:p>
      <w:pPr>
        <w:pStyle w:val="BodyText"/>
      </w:pPr>
      <w:r>
        <w:t xml:space="preserve">Pokud vás zajímá logika a praxe exit interviews v širším personalistickém smyslu, dobrý přehled nabízí</w:t>
      </w:r>
      <w:r>
        <w:t xml:space="preserve"> </w:t>
      </w:r>
      <w:r>
        <w:t xml:space="preserve">@spainMakingExitInterviews2016</w:t>
      </w:r>
      <w:r>
        <w:t xml:space="preserve">.</w:t>
      </w:r>
    </w:p>
    <w:bookmarkStart w:id="33" w:name="citované-zdroje"/>
    <w:p>
      <w:pPr>
        <w:pStyle w:val="Heading2"/>
      </w:pPr>
      <w:r>
        <w:t xml:space="preserve">Citované zdroje</w:t>
      </w:r>
    </w:p>
    <w:bookmarkStart w:id="32" w:name="refs"/>
    <w:bookmarkEnd w:id="32"/>
    <w:bookmarkEnd w:id="33"/>
    <w:bookmarkEnd w:id="3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Relationship Type="http://schemas.openxmlformats.org/officeDocument/2006/relationships/hyperlink" Id="rId20" Target="../doporuceni/teze-o-praci-s-poznatky-tymy.qmd#tacitni" TargetMode="External" /><Relationship Type="http://schemas.openxmlformats.org/officeDocument/2006/relationships/hyperlink" Id="rId23" Target="../pripadove-studie/case-mmr.qmd" TargetMode="External" /><Relationship Type="http://schemas.openxmlformats.org/officeDocument/2006/relationships/hyperlink" Id="rId30" Target="http://knowledgetransferalliance.pbworks.com/w/page/13792791/Knowledge-Based%20Exit%20Interview%20Guide" TargetMode="External" /><Relationship Type="http://schemas.openxmlformats.org/officeDocument/2006/relationships/hyperlink" Id="rId31" Target="https://cdn.odi.org/media/documents/6443.pdf" TargetMode="External" /><Relationship Type="http://schemas.openxmlformats.org/officeDocument/2006/relationships/hyperlink" Id="rId24" Target="https://www.tlu.ee/~sirvir/Information%20and%20Knowledge%20Management/Key_Concepts_of_IKM/tacit_and_explicit_knowledge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../doporuceni/teze-o-praci-s-poznatky-tymy.qmd#tacitni" TargetMode="External" /><Relationship Type="http://schemas.openxmlformats.org/officeDocument/2006/relationships/hyperlink" Id="rId23" Target="../pripadove-studie/case-mmr.qmd" TargetMode="External" /><Relationship Type="http://schemas.openxmlformats.org/officeDocument/2006/relationships/hyperlink" Id="rId30" Target="http://knowledgetransferalliance.pbworks.com/w/page/13792791/Knowledge-Based%20Exit%20Interview%20Guide" TargetMode="External" /><Relationship Type="http://schemas.openxmlformats.org/officeDocument/2006/relationships/hyperlink" Id="rId31" Target="https://cdn.odi.org/media/documents/6443.pdf" TargetMode="External" /><Relationship Type="http://schemas.openxmlformats.org/officeDocument/2006/relationships/hyperlink" Id="rId24" Target="https://www.tlu.ee/~sirvir/Information%20and%20Knowledge%20Management/Key_Concepts_of_IKM/tacit_and_explicit_knowledge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Offboarding člena týmu</dc:title>
  <dc:creator/>
  <dc:description>Domů &gt; Průvodce &gt; Offboarding člena týmu</dc:description>
  <cp:keywords/>
  <dcterms:created xsi:type="dcterms:W3CDTF">2024-05-02T17:55:18Z</dcterms:created>
  <dcterms:modified xsi:type="dcterms:W3CDTF">2024-05-02T17:55:18Z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ases">
    <vt:lpwstr/>
  </property>
  <property fmtid="{D5CDD505-2E9C-101B-9397-08002B2CF9AE}" pid="3" name="biblio-config">
    <vt:lpwstr>True</vt:lpwstr>
  </property>
  <property fmtid="{D5CDD505-2E9C-101B-9397-08002B2CF9AE}" pid="4" name="blok">
    <vt:lpwstr/>
  </property>
  <property fmtid="{D5CDD505-2E9C-101B-9397-08002B2CF9AE}" pid="5" name="citation-location">
    <vt:lpwstr>document</vt:lpwstr>
  </property>
  <property fmtid="{D5CDD505-2E9C-101B-9397-08002B2CF9AE}" pid="6" name="editor">
    <vt:lpwstr>source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oradi">
    <vt:lpwstr>12</vt:lpwstr>
  </property>
  <property fmtid="{D5CDD505-2E9C-101B-9397-08002B2CF9AE}" pid="12" name="subtitle">
    <vt:lpwstr>Nepřicházejte o znalosti těch, kdo odchází z týmu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