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tabulky"/>
    <w:p>
      <w:pPr>
        <w:pStyle w:val="Heading3"/>
      </w:pPr>
      <w:r>
        <w:t xml:space="preserve">Tabulky</w:t>
      </w:r>
    </w:p>
    <w:p>
      <w:pPr>
        <w:pStyle w:val="FirstParagraph"/>
      </w:pPr>
      <w:r>
        <w:rPr>
          <w:bCs/>
          <w:b/>
        </w:rPr>
        <w:t xml:space="preserve">Sdělení</w:t>
      </w:r>
    </w:p>
    <w:p>
      <w:pPr>
        <w:numPr>
          <w:ilvl w:val="0"/>
          <w:numId w:val="1001"/>
        </w:numPr>
        <w:pStyle w:val="Compact"/>
      </w:pPr>
      <w:r>
        <w:t xml:space="preserve">☐ je vhodnější tabulka nebo graf?</w:t>
      </w:r>
    </w:p>
    <w:p>
      <w:pPr>
        <w:numPr>
          <w:ilvl w:val="0"/>
          <w:numId w:val="1001"/>
        </w:numPr>
        <w:pStyle w:val="Compact"/>
      </w:pPr>
      <w:r>
        <w:t xml:space="preserve">☐ je zvolena adekvátní úroveň detailu (např. setiny, halíře, časové rozlišení…)?</w:t>
      </w:r>
    </w:p>
    <w:p>
      <w:pPr>
        <w:numPr>
          <w:ilvl w:val="0"/>
          <w:numId w:val="1001"/>
        </w:numPr>
        <w:pStyle w:val="Compact"/>
      </w:pPr>
      <w:r>
        <w:t xml:space="preserve">☐ uvádí tabulka příliš mnoho informací?</w:t>
      </w:r>
    </w:p>
    <w:p>
      <w:pPr>
        <w:pStyle w:val="FirstParagraph"/>
      </w:pPr>
      <w:r>
        <w:rPr>
          <w:bCs/>
          <w:b/>
        </w:rPr>
        <w:t xml:space="preserve">Uspořádání</w:t>
      </w:r>
    </w:p>
    <w:p>
      <w:pPr>
        <w:numPr>
          <w:ilvl w:val="0"/>
          <w:numId w:val="1002"/>
        </w:numPr>
        <w:pStyle w:val="Compact"/>
      </w:pPr>
      <w:r>
        <w:t xml:space="preserve">☐ hodnoty jsou graficky blízko k sobě</w:t>
      </w:r>
    </w:p>
    <w:p>
      <w:pPr>
        <w:numPr>
          <w:ilvl w:val="0"/>
          <w:numId w:val="1002"/>
        </w:numPr>
        <w:pStyle w:val="Compact"/>
      </w:pPr>
      <w:r>
        <w:t xml:space="preserve">☐ hodnoty jsou uvedeny ve sloupcích</w:t>
      </w:r>
    </w:p>
    <w:p>
      <w:pPr>
        <w:numPr>
          <w:ilvl w:val="0"/>
          <w:numId w:val="1002"/>
        </w:numPr>
        <w:pStyle w:val="Compact"/>
      </w:pPr>
      <w:r>
        <w:t xml:space="preserve">☐ zaokrouhlení odpovídá variabilitě proměnné a usnadňuje srovnání, pokud cílem není poskytnout přesné hodnoty</w:t>
      </w:r>
    </w:p>
    <w:p>
      <w:pPr>
        <w:pStyle w:val="FirstParagraph"/>
      </w:pPr>
      <w:r>
        <w:rPr>
          <w:bCs/>
          <w:b/>
        </w:rPr>
        <w:t xml:space="preserve">Formátování</w:t>
      </w:r>
    </w:p>
    <w:p>
      <w:pPr>
        <w:numPr>
          <w:ilvl w:val="0"/>
          <w:numId w:val="1003"/>
        </w:numPr>
        <w:pStyle w:val="Compact"/>
      </w:pPr>
      <w:r>
        <w:t xml:space="preserve">☐ číselné hodnoty jsou zarovnané doprava, popř. i na desetinnou čárku, textové doleva</w:t>
      </w:r>
    </w:p>
    <w:p>
      <w:pPr>
        <w:numPr>
          <w:ilvl w:val="0"/>
          <w:numId w:val="1003"/>
        </w:numPr>
        <w:pStyle w:val="Compact"/>
      </w:pPr>
      <w:r>
        <w:t xml:space="preserve">☐ hodnoty &lt;1 jsou uvedeny s nulou před čárkou</w:t>
      </w:r>
    </w:p>
    <w:p>
      <w:pPr>
        <w:numPr>
          <w:ilvl w:val="0"/>
          <w:numId w:val="1003"/>
        </w:numPr>
        <w:pStyle w:val="Compact"/>
      </w:pPr>
      <w:r>
        <w:t xml:space="preserve">☐ přebytečné čáry jsou vypuštěny (často lze vypustit svislé)</w:t>
      </w:r>
    </w:p>
    <w:p>
      <w:pPr>
        <w:numPr>
          <w:ilvl w:val="0"/>
          <w:numId w:val="1003"/>
        </w:numPr>
        <w:pStyle w:val="Compact"/>
      </w:pPr>
      <w:r>
        <w:t xml:space="preserve">☐ použité písmo má tabulární číslice (stejně široké)</w:t>
      </w:r>
    </w:p>
    <w:p>
      <w:pPr>
        <w:pStyle w:val="FirstParagraph"/>
      </w:pPr>
      <w:r>
        <w:rPr>
          <w:bCs/>
          <w:b/>
        </w:rPr>
        <w:t xml:space="preserve">Seskupení, seřazení a hierarchizace</w:t>
      </w:r>
    </w:p>
    <w:p>
      <w:pPr>
        <w:numPr>
          <w:ilvl w:val="0"/>
          <w:numId w:val="1004"/>
        </w:numPr>
        <w:pStyle w:val="Compact"/>
      </w:pPr>
      <w:r>
        <w:t xml:space="preserve">☐ hodnoty jsou seskupeny podle relevance</w:t>
      </w:r>
    </w:p>
    <w:p>
      <w:pPr>
        <w:numPr>
          <w:ilvl w:val="0"/>
          <w:numId w:val="1004"/>
        </w:numPr>
        <w:pStyle w:val="Compact"/>
      </w:pPr>
      <w:r>
        <w:t xml:space="preserve">☐ hodnoty, které chceme srovnávat, jsou vedle sebe</w:t>
      </w:r>
    </w:p>
    <w:p>
      <w:pPr>
        <w:numPr>
          <w:ilvl w:val="0"/>
          <w:numId w:val="1004"/>
        </w:numPr>
        <w:pStyle w:val="Compact"/>
      </w:pPr>
      <w:r>
        <w:t xml:space="preserve">☐ hierarchické (podmnožinné) vztahy jsou znázorněny odsazením</w:t>
      </w:r>
    </w:p>
    <w:p>
      <w:pPr>
        <w:numPr>
          <w:ilvl w:val="0"/>
          <w:numId w:val="1004"/>
        </w:numPr>
        <w:pStyle w:val="Compact"/>
      </w:pPr>
      <w:r>
        <w:t xml:space="preserve">☐ seřazení je logické (např. čas, kraje…)</w:t>
      </w:r>
    </w:p>
    <w:p>
      <w:pPr>
        <w:pStyle w:val="FirstParagraph"/>
      </w:pPr>
      <w:r>
        <w:rPr>
          <w:bCs/>
          <w:b/>
        </w:rPr>
        <w:t xml:space="preserve">Součty, souhrny a zaokrouhlení</w:t>
      </w:r>
    </w:p>
    <w:p>
      <w:pPr>
        <w:numPr>
          <w:ilvl w:val="0"/>
          <w:numId w:val="1005"/>
        </w:numPr>
        <w:pStyle w:val="Compact"/>
      </w:pPr>
      <w:r>
        <w:t xml:space="preserve">☐ součty a souhry jsou dole nebo vpravo (! pokud hlavní sdělení: nahoře nebo vlevo)</w:t>
      </w:r>
    </w:p>
    <w:p>
      <w:pPr>
        <w:numPr>
          <w:ilvl w:val="0"/>
          <w:numId w:val="1005"/>
        </w:numPr>
        <w:pStyle w:val="Compact"/>
      </w:pPr>
      <w:r>
        <w:t xml:space="preserve">☐ všechny hodnoty mají stejné zaokrouhlení</w:t>
      </w:r>
    </w:p>
    <w:p>
      <w:pPr>
        <w:pStyle w:val="FirstParagraph"/>
      </w:pPr>
      <w:r>
        <w:rPr>
          <w:bCs/>
          <w:b/>
        </w:rPr>
        <w:t xml:space="preserve">Titulky a popisky</w:t>
      </w:r>
    </w:p>
    <w:p>
      <w:pPr>
        <w:numPr>
          <w:ilvl w:val="0"/>
          <w:numId w:val="1006"/>
        </w:numPr>
        <w:pStyle w:val="Compact"/>
      </w:pPr>
      <w:r>
        <w:t xml:space="preserve">☐ titulek uvádí hlavní sdělení</w:t>
      </w:r>
    </w:p>
    <w:p>
      <w:pPr>
        <w:numPr>
          <w:ilvl w:val="0"/>
          <w:numId w:val="1006"/>
        </w:numPr>
        <w:pStyle w:val="Compact"/>
      </w:pPr>
      <w:r>
        <w:t xml:space="preserve">☐ podtitulek uvádí dataset, časové období a území</w:t>
      </w:r>
    </w:p>
    <w:p>
      <w:pPr>
        <w:numPr>
          <w:ilvl w:val="0"/>
          <w:numId w:val="1006"/>
        </w:numPr>
        <w:pStyle w:val="Compact"/>
      </w:pPr>
      <w:r>
        <w:t xml:space="preserve">☐ tabulka je očíslovaná</w:t>
      </w:r>
    </w:p>
    <w:p>
      <w:pPr>
        <w:numPr>
          <w:ilvl w:val="0"/>
          <w:numId w:val="1006"/>
        </w:numPr>
        <w:pStyle w:val="Compact"/>
      </w:pPr>
      <w:r>
        <w:t xml:space="preserve">☐ pod tabulkou je uveden zdroj ve formátu [název datasetu / zdroj] s odkazem</w:t>
      </w:r>
    </w:p>
    <w:p>
      <w:pPr>
        <w:pStyle w:val="FirstParagraph"/>
      </w:pPr>
      <w:r>
        <w:rPr>
          <w:bCs/>
          <w:b/>
        </w:rPr>
        <w:t xml:space="preserve">Záhlaví (headers)</w:t>
      </w:r>
    </w:p>
    <w:p>
      <w:pPr>
        <w:numPr>
          <w:ilvl w:val="0"/>
          <w:numId w:val="1007"/>
        </w:numPr>
        <w:pStyle w:val="Compact"/>
      </w:pPr>
      <w:r>
        <w:t xml:space="preserve">☐ záhlaví popisují data v každé kolonce</w:t>
      </w:r>
    </w:p>
    <w:p>
      <w:pPr>
        <w:numPr>
          <w:ilvl w:val="0"/>
          <w:numId w:val="1007"/>
        </w:numPr>
        <w:pStyle w:val="Compact"/>
      </w:pPr>
      <w:r>
        <w:t xml:space="preserve">☐ záhlaví uvádí jednotku (! pouze pokud odlišné, v opačném případě pouze v podtitulu)</w:t>
      </w:r>
    </w:p>
    <w:p>
      <w:pPr>
        <w:numPr>
          <w:ilvl w:val="0"/>
          <w:numId w:val="1007"/>
        </w:numPr>
        <w:pStyle w:val="Compact"/>
      </w:pPr>
      <w:r>
        <w:t xml:space="preserve">☐ optional, podle využití: záhlaví se neopakují, pokud to není nutné</w:t>
      </w:r>
    </w:p>
    <w:p>
      <w:pPr>
        <w:pStyle w:val="FirstParagraph"/>
      </w:pPr>
      <w:r>
        <w:rPr>
          <w:bCs/>
          <w:b/>
        </w:rPr>
        <w:t xml:space="preserve">Fonty</w:t>
      </w:r>
    </w:p>
    <w:p>
      <w:pPr>
        <w:numPr>
          <w:ilvl w:val="0"/>
          <w:numId w:val="1008"/>
        </w:numPr>
        <w:pStyle w:val="Compact"/>
      </w:pPr>
      <w:r>
        <w:t xml:space="preserve">☐ jednotný font</w:t>
      </w:r>
    </w:p>
    <w:p>
      <w:pPr>
        <w:numPr>
          <w:ilvl w:val="0"/>
          <w:numId w:val="1008"/>
        </w:numPr>
        <w:pStyle w:val="Compact"/>
      </w:pPr>
      <w:r>
        <w:t xml:space="preserve">☐ minimální velikost 12pt</w:t>
      </w:r>
    </w:p>
    <w:p>
      <w:pPr>
        <w:numPr>
          <w:ilvl w:val="0"/>
          <w:numId w:val="1008"/>
        </w:numPr>
        <w:pStyle w:val="Compact"/>
      </w:pPr>
      <w:r>
        <w:t xml:space="preserve">☐ sans serif font (např. Arial)</w:t>
      </w:r>
    </w:p>
    <w:p>
      <w:pPr>
        <w:numPr>
          <w:ilvl w:val="0"/>
          <w:numId w:val="1008"/>
        </w:numPr>
        <w:pStyle w:val="Compact"/>
      </w:pPr>
      <w:r>
        <w:t xml:space="preserve">☐ bold pouze pro zvýraznění, žádná kursiva</w:t>
      </w:r>
    </w:p>
    <w:bookmarkEnd w:id="20"/>
    <w:bookmarkStart w:id="21" w:name="grafy"/>
    <w:p>
      <w:pPr>
        <w:pStyle w:val="Heading3"/>
      </w:pPr>
      <w:r>
        <w:t xml:space="preserve">Grafy</w:t>
      </w:r>
    </w:p>
    <w:p>
      <w:pPr>
        <w:pStyle w:val="FirstParagraph"/>
      </w:pPr>
      <w:r>
        <w:rPr>
          <w:bCs/>
          <w:b/>
        </w:rPr>
        <w:t xml:space="preserve">Volba typu grafu</w:t>
      </w:r>
    </w:p>
    <w:p>
      <w:pPr>
        <w:numPr>
          <w:ilvl w:val="0"/>
          <w:numId w:val="1009"/>
        </w:numPr>
        <w:pStyle w:val="Compact"/>
      </w:pPr>
      <w:r>
        <w:t xml:space="preserve">☐ účel/sdělení?</w:t>
      </w:r>
    </w:p>
    <w:p>
      <w:pPr>
        <w:numPr>
          <w:ilvl w:val="0"/>
          <w:numId w:val="1009"/>
        </w:numPr>
        <w:pStyle w:val="Compact"/>
      </w:pPr>
      <w:r>
        <w:t xml:space="preserve">☐ tradiční/netradiční?</w:t>
      </w:r>
    </w:p>
    <w:p>
      <w:pPr>
        <w:numPr>
          <w:ilvl w:val="0"/>
          <w:numId w:val="1009"/>
        </w:numPr>
        <w:pStyle w:val="Compact"/>
      </w:pPr>
      <w:r>
        <w:t xml:space="preserve">☐ podporuje ta srovnání, která bude čtenář chtít dělat?</w:t>
      </w:r>
    </w:p>
    <w:p>
      <w:pPr>
        <w:numPr>
          <w:ilvl w:val="0"/>
          <w:numId w:val="1009"/>
        </w:numPr>
        <w:pStyle w:val="Compact"/>
      </w:pPr>
      <w:r>
        <w:t xml:space="preserve">☐ usnadňuje čitelnost? (např. small multiples)</w:t>
      </w:r>
    </w:p>
    <w:p>
      <w:pPr>
        <w:numPr>
          <w:ilvl w:val="0"/>
          <w:numId w:val="1009"/>
        </w:numPr>
        <w:pStyle w:val="Compact"/>
      </w:pPr>
      <w:r>
        <w:t xml:space="preserve">☐ zobrazení nejistoty?</w:t>
      </w:r>
    </w:p>
    <w:p>
      <w:pPr>
        <w:pStyle w:val="FirstParagraph"/>
      </w:pPr>
      <w:r>
        <w:rPr>
          <w:bCs/>
          <w:b/>
        </w:rPr>
        <w:t xml:space="preserve">Encoding</w:t>
      </w:r>
    </w:p>
    <w:p>
      <w:pPr>
        <w:numPr>
          <w:ilvl w:val="0"/>
          <w:numId w:val="1010"/>
        </w:numPr>
        <w:pStyle w:val="Compact"/>
      </w:pPr>
      <w:r>
        <w:t xml:space="preserve">☐ barevné škály</w:t>
      </w:r>
    </w:p>
    <w:p>
      <w:pPr>
        <w:numPr>
          <w:ilvl w:val="1"/>
          <w:numId w:val="1011"/>
        </w:numPr>
        <w:pStyle w:val="Compact"/>
      </w:pPr>
      <w:r>
        <w:t xml:space="preserve">☐ jsou zvoleny s ohledem na sdělení - např. divergentní škála pro zobrazení odchylek od průměru</w:t>
      </w:r>
    </w:p>
    <w:p>
      <w:pPr>
        <w:numPr>
          <w:ilvl w:val="1"/>
          <w:numId w:val="1011"/>
        </w:numPr>
        <w:pStyle w:val="Compact"/>
      </w:pPr>
      <w:r>
        <w:t xml:space="preserve">☐ řazení např. barev ve složeném sloupci odpovídá přiřozenému pořadí</w:t>
      </w:r>
    </w:p>
    <w:p>
      <w:pPr>
        <w:numPr>
          <w:ilvl w:val="1"/>
          <w:numId w:val="1011"/>
        </w:numPr>
        <w:pStyle w:val="Compact"/>
      </w:pPr>
      <w:r>
        <w:t xml:space="preserve">☐ kvalitativní barevná škála pro kvalitativní data, souvislá pro kvantitativní, odstupňovaná pro kardinální data, popř. odstíny pro podkategorie</w:t>
      </w:r>
    </w:p>
    <w:p>
      <w:pPr>
        <w:numPr>
          <w:ilvl w:val="1"/>
          <w:numId w:val="1011"/>
        </w:numPr>
        <w:pStyle w:val="Compact"/>
      </w:pPr>
      <w:r>
        <w:t xml:space="preserve">☐ barev je přiměřené množství</w:t>
      </w:r>
    </w:p>
    <w:p>
      <w:pPr>
        <w:numPr>
          <w:ilvl w:val="1"/>
          <w:numId w:val="1011"/>
        </w:numPr>
        <w:pStyle w:val="Compact"/>
      </w:pPr>
      <w:r>
        <w:t xml:space="preserve">☐ nejsou použity barvy špatně odlišitelné pro osoby s poruchou zraku</w:t>
      </w:r>
    </w:p>
    <w:p>
      <w:pPr>
        <w:numPr>
          <w:ilvl w:val="0"/>
          <w:numId w:val="1010"/>
        </w:numPr>
        <w:pStyle w:val="Compact"/>
      </w:pPr>
      <w:r>
        <w:t xml:space="preserve">☐ velikost: body jsou zvětšeny svou plochou, ne průměrem</w:t>
      </w:r>
    </w:p>
    <w:p>
      <w:pPr>
        <w:numPr>
          <w:ilvl w:val="0"/>
          <w:numId w:val="1010"/>
        </w:numPr>
        <w:pStyle w:val="Compact"/>
      </w:pPr>
      <w:r>
        <w:t xml:space="preserve">☐ u velkého množství bodů je použita průhlednost, aby byly vidět shluky</w:t>
      </w:r>
    </w:p>
    <w:p>
      <w:pPr>
        <w:numPr>
          <w:ilvl w:val="0"/>
          <w:numId w:val="1010"/>
        </w:numPr>
        <w:pStyle w:val="Compact"/>
      </w:pPr>
      <w:r>
        <w:t xml:space="preserve">☐ barvy jsou využity cíleně, např.</w:t>
      </w:r>
    </w:p>
    <w:p>
      <w:pPr>
        <w:numPr>
          <w:ilvl w:val="1"/>
          <w:numId w:val="1012"/>
        </w:numPr>
        <w:pStyle w:val="Compact"/>
      </w:pPr>
      <w:r>
        <w:t xml:space="preserve">☐ zvýraznění klíčové kategorie</w:t>
      </w:r>
    </w:p>
    <w:p>
      <w:pPr>
        <w:numPr>
          <w:ilvl w:val="1"/>
          <w:numId w:val="1012"/>
        </w:numPr>
        <w:pStyle w:val="Compact"/>
      </w:pPr>
      <w:r>
        <w:t xml:space="preserve">☐ červená = problém/nízká hodnota</w:t>
      </w:r>
    </w:p>
    <w:p>
      <w:pPr>
        <w:numPr>
          <w:ilvl w:val="1"/>
          <w:numId w:val="1012"/>
        </w:numPr>
        <w:pStyle w:val="Compact"/>
      </w:pPr>
      <w:r>
        <w:t xml:space="preserve">☐ šedá pro</w:t>
      </w:r>
      <w:r>
        <w:t xml:space="preserve"> </w:t>
      </w:r>
      <w:r>
        <w:t xml:space="preserve">“</w:t>
      </w:r>
      <w:r>
        <w:t xml:space="preserve">Ostatní</w:t>
      </w:r>
      <w:r>
        <w:t xml:space="preserve">”</w:t>
      </w:r>
    </w:p>
    <w:p>
      <w:pPr>
        <w:numPr>
          <w:ilvl w:val="0"/>
          <w:numId w:val="1010"/>
        </w:numPr>
        <w:pStyle w:val="Compact"/>
      </w:pPr>
      <w:r>
        <w:t xml:space="preserve">☐ datumová osa:</w:t>
      </w:r>
    </w:p>
    <w:p>
      <w:pPr>
        <w:numPr>
          <w:ilvl w:val="1"/>
          <w:numId w:val="1013"/>
        </w:numPr>
        <w:pStyle w:val="Compact"/>
      </w:pPr>
      <w:r>
        <w:t xml:space="preserve">☐ různě dlouhé intervaly jsou zobrazeny odpovídajícími rozestupy</w:t>
      </w:r>
    </w:p>
    <w:p>
      <w:pPr>
        <w:pStyle w:val="FirstParagraph"/>
      </w:pPr>
      <w:r>
        <w:rPr>
          <w:bCs/>
          <w:b/>
        </w:rPr>
        <w:t xml:space="preserve">Titulky a popisky</w:t>
      </w:r>
    </w:p>
    <w:p>
      <w:pPr>
        <w:numPr>
          <w:ilvl w:val="0"/>
          <w:numId w:val="1014"/>
        </w:numPr>
        <w:pStyle w:val="Compact"/>
      </w:pPr>
      <w:r>
        <w:t xml:space="preserve">☐ text je dostatečně velký pro dané použití (dokument vs. prezentace)</w:t>
      </w:r>
    </w:p>
    <w:p>
      <w:pPr>
        <w:numPr>
          <w:ilvl w:val="0"/>
          <w:numId w:val="1014"/>
        </w:numPr>
        <w:pStyle w:val="Compact"/>
      </w:pPr>
      <w:r>
        <w:t xml:space="preserve">☐ text názvu grafu sděluje hlavní informaci</w:t>
      </w:r>
    </w:p>
    <w:p>
      <w:pPr>
        <w:numPr>
          <w:ilvl w:val="0"/>
          <w:numId w:val="1014"/>
        </w:numPr>
        <w:pStyle w:val="Compact"/>
      </w:pPr>
      <w:r>
        <w:t xml:space="preserve">☐ v titulku nebo podtitulku je popsána veličina, záběr a jednotka dat</w:t>
      </w:r>
    </w:p>
    <w:p>
      <w:pPr>
        <w:numPr>
          <w:ilvl w:val="0"/>
          <w:numId w:val="1014"/>
        </w:numPr>
        <w:pStyle w:val="Compact"/>
      </w:pPr>
      <w:r>
        <w:t xml:space="preserve">☐ pro popisky hodnot je použito písmo s jednotnou šířkou číslic</w:t>
      </w:r>
    </w:p>
    <w:p>
      <w:pPr>
        <w:numPr>
          <w:ilvl w:val="0"/>
          <w:numId w:val="1014"/>
        </w:numPr>
        <w:pStyle w:val="Compact"/>
      </w:pPr>
      <w:r>
        <w:t xml:space="preserve">☐ popisky hodnot na ose mají přiměřené zaokrouhlení / jednotku</w:t>
      </w:r>
    </w:p>
    <w:p>
      <w:pPr>
        <w:numPr>
          <w:ilvl w:val="0"/>
          <w:numId w:val="1014"/>
        </w:numPr>
        <w:pStyle w:val="Compact"/>
      </w:pPr>
      <w:r>
        <w:t xml:space="preserve">☐ volitelně: popis osy Y může být v podtitulu (oproti otočenému textu u osy)</w:t>
      </w:r>
    </w:p>
    <w:p>
      <w:pPr>
        <w:pStyle w:val="FirstParagraph"/>
      </w:pPr>
      <w:r>
        <w:rPr>
          <w:bCs/>
          <w:b/>
        </w:rPr>
        <w:t xml:space="preserve">Legenda</w:t>
      </w:r>
    </w:p>
    <w:p>
      <w:pPr>
        <w:numPr>
          <w:ilvl w:val="0"/>
          <w:numId w:val="1015"/>
        </w:numPr>
        <w:pStyle w:val="Compact"/>
      </w:pPr>
      <w:r>
        <w:t xml:space="preserve">☐ řazení odpovídá grafu a/nebo přirozenému pořadí</w:t>
      </w:r>
    </w:p>
    <w:p>
      <w:pPr>
        <w:numPr>
          <w:ilvl w:val="0"/>
          <w:numId w:val="1015"/>
        </w:numPr>
        <w:pStyle w:val="Compact"/>
      </w:pPr>
      <w:r>
        <w:t xml:space="preserve">☐ pokud lze, data jsou označena přímo (např. u čarového grafu), ne legendou</w:t>
      </w:r>
    </w:p>
    <w:p>
      <w:pPr>
        <w:pStyle w:val="FirstParagraph"/>
      </w:pPr>
      <w:r>
        <w:rPr>
          <w:bCs/>
          <w:b/>
        </w:rPr>
        <w:t xml:space="preserve">Anotace</w:t>
      </w:r>
    </w:p>
    <w:p>
      <w:pPr>
        <w:numPr>
          <w:ilvl w:val="0"/>
          <w:numId w:val="1016"/>
        </w:numPr>
        <w:pStyle w:val="Compact"/>
      </w:pPr>
      <w:r>
        <w:t xml:space="preserve">☐ anotace vysvětlují klíčové datové body, trendy, změny, anomálie aj.</w:t>
      </w:r>
    </w:p>
    <w:p>
      <w:pPr>
        <w:pStyle w:val="FirstParagraph"/>
      </w:pPr>
      <w:r>
        <w:rPr>
          <w:bCs/>
          <w:b/>
        </w:rPr>
        <w:t xml:space="preserve">Nedatové prvky: osy, vodicí linky, řazení</w:t>
      </w:r>
    </w:p>
    <w:p>
      <w:pPr>
        <w:numPr>
          <w:ilvl w:val="0"/>
          <w:numId w:val="1017"/>
        </w:numPr>
        <w:pStyle w:val="Compact"/>
      </w:pPr>
      <w:r>
        <w:t xml:space="preserve">☐ řazení kategorií na osách odpovídá přirozenému pořadí a/nebo podporuje čtení (např. kategorie Jiné/Ostatní je řazena poslední)</w:t>
      </w:r>
    </w:p>
    <w:p>
      <w:pPr>
        <w:numPr>
          <w:ilvl w:val="0"/>
          <w:numId w:val="1017"/>
        </w:numPr>
        <w:pStyle w:val="Compact"/>
      </w:pPr>
      <w:r>
        <w:t xml:space="preserve">☐ řazení kategorií na koláčovém grafu usnadňuje srovnání a koláč začíná na 12:00</w:t>
      </w:r>
    </w:p>
    <w:p>
      <w:pPr>
        <w:numPr>
          <w:ilvl w:val="0"/>
          <w:numId w:val="1017"/>
        </w:numPr>
        <w:pStyle w:val="Compact"/>
      </w:pPr>
      <w:r>
        <w:t xml:space="preserve">☐ jsou použity smysluplně, tj. tak, pomáhaly čtení grafu a nerozptylovaly</w:t>
      </w:r>
    </w:p>
    <w:p>
      <w:pPr>
        <w:numPr>
          <w:ilvl w:val="1"/>
          <w:numId w:val="1018"/>
        </w:numPr>
        <w:pStyle w:val="Compact"/>
      </w:pPr>
      <w:r>
        <w:t xml:space="preserve">☐ přiměřený počet, tloušťka a barva vodicích linek</w:t>
      </w:r>
    </w:p>
    <w:p>
      <w:pPr>
        <w:numPr>
          <w:ilvl w:val="1"/>
          <w:numId w:val="1018"/>
        </w:numPr>
        <w:pStyle w:val="Compact"/>
      </w:pPr>
      <w:r>
        <w:t xml:space="preserve">☐ přiměřený počet</w:t>
      </w:r>
      <w:r>
        <w:t xml:space="preserve"> </w:t>
      </w:r>
      <w:r>
        <w:t xml:space="preserve">“</w:t>
      </w:r>
      <w:r>
        <w:t xml:space="preserve">zarážek</w:t>
      </w:r>
      <w:r>
        <w:t xml:space="preserve">”</w:t>
      </w:r>
      <w:r>
        <w:t xml:space="preserve"> </w:t>
      </w:r>
      <w:r>
        <w:t xml:space="preserve">(ticks) na osách</w:t>
      </w:r>
    </w:p>
    <w:p>
      <w:pPr>
        <w:numPr>
          <w:ilvl w:val="1"/>
          <w:numId w:val="1018"/>
        </w:numPr>
        <w:pStyle w:val="Compact"/>
      </w:pPr>
      <w:r>
        <w:t xml:space="preserve">☐ přiměřené množství popisků hodnot na osách bez přehnaného opakování např. roku v datumu</w:t>
      </w:r>
    </w:p>
    <w:p>
      <w:pPr>
        <w:numPr>
          <w:ilvl w:val="1"/>
          <w:numId w:val="1018"/>
        </w:numPr>
        <w:pStyle w:val="Compact"/>
      </w:pPr>
      <w:r>
        <w:t xml:space="preserve">☐ nechybí/nejsou přeskočeny žádné popisky na kategorické ose</w:t>
      </w:r>
    </w:p>
    <w:p>
      <w:pPr>
        <w:pStyle w:val="FirstParagraph"/>
      </w:pPr>
      <w:r>
        <w:rPr>
          <w:bCs/>
          <w:b/>
        </w:rPr>
        <w:t xml:space="preserve">Špatné praxe</w:t>
      </w:r>
    </w:p>
    <w:p>
      <w:pPr>
        <w:numPr>
          <w:ilvl w:val="0"/>
          <w:numId w:val="1019"/>
        </w:numPr>
        <w:pStyle w:val="Compact"/>
      </w:pPr>
      <w:r>
        <w:t xml:space="preserve">☐ 3D grafy</w:t>
      </w:r>
    </w:p>
    <w:p>
      <w:pPr>
        <w:numPr>
          <w:ilvl w:val="0"/>
          <w:numId w:val="1019"/>
        </w:numPr>
        <w:pStyle w:val="Compact"/>
      </w:pPr>
      <w:r>
        <w:t xml:space="preserve">☐ podseknutá osa u sloupcového grafu (nezačíná na nule)</w:t>
      </w:r>
    </w:p>
    <w:p>
      <w:pPr>
        <w:numPr>
          <w:ilvl w:val="0"/>
          <w:numId w:val="1019"/>
        </w:numPr>
        <w:pStyle w:val="Compact"/>
      </w:pPr>
      <w:r>
        <w:t xml:space="preserve">☐ příliš roztažená osa Y u čarových grafů (není vidět variabilita)</w:t>
      </w:r>
    </w:p>
    <w:p>
      <w:pPr>
        <w:numPr>
          <w:ilvl w:val="0"/>
          <w:numId w:val="1019"/>
        </w:numPr>
        <w:pStyle w:val="Compact"/>
      </w:pPr>
      <w:r>
        <w:t xml:space="preserve">☐ dvojitá svislá osa s různými rozpětími nebo jednotkami – zvlášť pokud navozuje falešný dojem vztahu mezi proměnnými měřenými na opačných osách</w:t>
      </w:r>
    </w:p>
    <w:p>
      <w:pPr>
        <w:numPr>
          <w:ilvl w:val="0"/>
          <w:numId w:val="1019"/>
        </w:numPr>
        <w:pStyle w:val="Compact"/>
      </w:pPr>
      <w:r>
        <w:t xml:space="preserve">☐ koláčový graf s více než 4 kategoriemi</w:t>
      </w:r>
    </w:p>
    <w:p>
      <w:pPr>
        <w:numPr>
          <w:ilvl w:val="0"/>
          <w:numId w:val="1019"/>
        </w:numPr>
        <w:pStyle w:val="Compact"/>
      </w:pPr>
      <w:r>
        <w:t xml:space="preserve">☐ popisky osy X svisle/našikmo: nenuťte své čtenáře kroutit hlavou</w:t>
      </w:r>
    </w:p>
    <w:p>
      <w:pPr>
        <w:numPr>
          <w:ilvl w:val="0"/>
          <w:numId w:val="1019"/>
        </w:numPr>
        <w:pStyle w:val="Compact"/>
      </w:pPr>
      <w:r>
        <w:t xml:space="preserve">☐ červenozelená barevná škála: nekomplikujte život lidem s poruchami vnímání barev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Domů &gt; Průvodce &gt; ?meta:title</dc:description>
  <cp:keywords/>
  <dcterms:created xsi:type="dcterms:W3CDTF">2024-05-02T17:55:21Z</dcterms:created>
  <dcterms:modified xsi:type="dcterms:W3CDTF">2024-05-02T17:55:21Z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citation-location">
    <vt:lpwstr>document</vt:lpwstr>
  </property>
  <property fmtid="{D5CDD505-2E9C-101B-9397-08002B2CF9AE}" pid="4" name="editor">
    <vt:lpwstr>source</vt:lpwstr>
  </property>
  <property fmtid="{D5CDD505-2E9C-101B-9397-08002B2CF9AE}" pid="5" name="header-includes">
    <vt:lpwstr/>
  </property>
  <property fmtid="{D5CDD505-2E9C-101B-9397-08002B2CF9AE}" pid="6" name="include-after">
    <vt:lpwstr/>
  </property>
  <property fmtid="{D5CDD505-2E9C-101B-9397-08002B2CF9AE}" pid="7" name="include-before">
    <vt:lpwstr/>
  </property>
  <property fmtid="{D5CDD505-2E9C-101B-9397-08002B2CF9AE}" pid="8" name="labels">
    <vt:lpwstr/>
  </property>
  <property fmtid="{D5CDD505-2E9C-101B-9397-08002B2CF9AE}" pid="9" name="title-block-banner">
    <vt:lpwstr>True</vt:lpwstr>
  </property>
  <property fmtid="{D5CDD505-2E9C-101B-9397-08002B2CF9AE}" pid="10" name="title-block-categories">
    <vt:lpwstr>False</vt:lpwstr>
  </property>
  <property fmtid="{D5CDD505-2E9C-101B-9397-08002B2CF9AE}" pid="11" name="toc-title">
    <vt:lpwstr>Table of contents</vt:lpwstr>
  </property>
  <property fmtid="{D5CDD505-2E9C-101B-9397-08002B2CF9AE}" pid="12" name="uplevel">
    <vt:lpwstr>Průvodce</vt:lpwstr>
  </property>
  <property fmtid="{D5CDD505-2E9C-101B-9397-08002B2CF9AE}" pid="13" name="uplevel-url">
    <vt:lpwstr>/pruvodce/index.html</vt:lpwstr>
  </property>
</Properties>
</file>